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6BB8" w14:textId="77777777" w:rsidR="00EF1491" w:rsidRDefault="00EF1491" w:rsidP="001A4494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193272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32BC6BBF" w14:textId="77777777" w:rsidR="00EF1491" w:rsidRDefault="00EF1491" w:rsidP="00D63D52"/>
    <w:p w14:paraId="32BC6BE5" w14:textId="77777777" w:rsidR="00EF1491" w:rsidRDefault="00EF1491" w:rsidP="00346E81"/>
    <w:p w14:paraId="1D49995E" w14:textId="77777777" w:rsidR="00D3730B" w:rsidRPr="00D3730B" w:rsidRDefault="00D3730B" w:rsidP="00D3730B">
      <w:pPr>
        <w:spacing w:before="360" w:after="360"/>
        <w:jc w:val="center"/>
        <w:rPr>
          <w:b/>
          <w:kern w:val="20"/>
          <w:sz w:val="36"/>
          <w:szCs w:val="36"/>
          <w:lang w:eastAsia="en-US"/>
        </w:rPr>
      </w:pPr>
      <w:r w:rsidRPr="00D3730B">
        <w:rPr>
          <w:b/>
          <w:kern w:val="20"/>
          <w:sz w:val="36"/>
          <w:szCs w:val="36"/>
          <w:lang w:eastAsia="en-US"/>
        </w:rPr>
        <w:t>HRVATSKA ENERGETSKA REGULATORNA AGENCIJA</w:t>
      </w:r>
    </w:p>
    <w:p w14:paraId="2B8D79D3" w14:textId="7373E2BD" w:rsidR="00D3730B" w:rsidRPr="00D3730B" w:rsidRDefault="00D3730B" w:rsidP="00D3730B">
      <w:pPr>
        <w:spacing w:after="120"/>
        <w:rPr>
          <w:kern w:val="20"/>
        </w:rPr>
      </w:pPr>
      <w:r w:rsidRPr="00D3730B">
        <w:rPr>
          <w:kern w:val="20"/>
        </w:rPr>
        <w:t xml:space="preserve">Na temelju članka 8. </w:t>
      </w:r>
      <w:bookmarkStart w:id="1" w:name="_Hlk147913889"/>
      <w:r w:rsidRPr="00D3730B">
        <w:rPr>
          <w:kern w:val="20"/>
        </w:rPr>
        <w:t>Zakona o provedbi Uredbe Vijeća (EU) 2022/1854 o hitnoj intervenciji za rješavanje pitanja visokih cijena energije („Narodne novine“, broj 71/23</w:t>
      </w:r>
      <w:bookmarkEnd w:id="1"/>
      <w:r w:rsidRPr="00D3730B">
        <w:rPr>
          <w:kern w:val="20"/>
        </w:rPr>
        <w:t xml:space="preserve">) Hrvatska energetska regulatorna agencija je na sjednici Upravnog vijeća održanoj </w:t>
      </w:r>
      <w:r w:rsidR="00E03FCD" w:rsidRPr="00E03FCD">
        <w:rPr>
          <w:kern w:val="20"/>
        </w:rPr>
        <w:t>12. listopada 2023.</w:t>
      </w:r>
      <w:r w:rsidRPr="00D3730B">
        <w:rPr>
          <w:kern w:val="20"/>
        </w:rPr>
        <w:t xml:space="preserve"> donijela</w:t>
      </w:r>
    </w:p>
    <w:p w14:paraId="6D8762D9" w14:textId="77777777" w:rsidR="00D3730B" w:rsidRPr="00D3730B" w:rsidRDefault="00D3730B" w:rsidP="00D3730B">
      <w:pPr>
        <w:keepNext/>
        <w:tabs>
          <w:tab w:val="left" w:pos="426"/>
          <w:tab w:val="left" w:pos="2450"/>
        </w:tabs>
        <w:spacing w:before="600" w:after="600"/>
        <w:jc w:val="center"/>
        <w:outlineLvl w:val="0"/>
        <w:rPr>
          <w:b/>
          <w:bCs/>
          <w:kern w:val="32"/>
          <w:sz w:val="36"/>
          <w:lang w:eastAsia="en-US"/>
        </w:rPr>
      </w:pPr>
      <w:r w:rsidRPr="00D3730B">
        <w:rPr>
          <w:b/>
          <w:bCs/>
          <w:kern w:val="32"/>
          <w:sz w:val="36"/>
          <w:lang w:eastAsia="en-US"/>
        </w:rPr>
        <w:t>UPUTE ZA PROVEDBU ZAKONA O PROVEDBI UREDBE VIJEĆA (EU) 2022/1854 O HITNOJ INTERVENCIJI ZA RJEŠAVANJE PITANJA VISOKIH CIJENA ENERGIJE</w:t>
      </w:r>
    </w:p>
    <w:p w14:paraId="7DE81ECE" w14:textId="77777777" w:rsidR="00D3730B" w:rsidRPr="00D3730B" w:rsidRDefault="00D3730B" w:rsidP="00D3730B">
      <w:pPr>
        <w:keepNext/>
        <w:tabs>
          <w:tab w:val="left" w:pos="426"/>
          <w:tab w:val="left" w:pos="2450"/>
        </w:tabs>
        <w:spacing w:before="600" w:after="240"/>
        <w:jc w:val="center"/>
        <w:outlineLvl w:val="1"/>
        <w:rPr>
          <w:bCs/>
          <w:kern w:val="32"/>
        </w:rPr>
      </w:pPr>
      <w:r w:rsidRPr="00D3730B">
        <w:rPr>
          <w:b/>
          <w:bCs/>
          <w:kern w:val="32"/>
        </w:rPr>
        <w:t>OPĆE ODREDBE</w:t>
      </w:r>
    </w:p>
    <w:p w14:paraId="4CF2CE54" w14:textId="64B5AD9A" w:rsidR="00D3730B" w:rsidRPr="00D3730B" w:rsidRDefault="00D3730B" w:rsidP="00D3730B">
      <w:pPr>
        <w:keepNext/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noProof/>
          <w:kern w:val="20"/>
          <w:lang w:eastAsia="en-US"/>
        </w:rPr>
        <w:fldChar w:fldCharType="begin"/>
      </w:r>
      <w:r w:rsidRPr="00D3730B">
        <w:rPr>
          <w:noProof/>
          <w:kern w:val="20"/>
          <w:lang w:eastAsia="en-US"/>
        </w:rPr>
        <w:instrText xml:space="preserve"> seq clanak </w:instrText>
      </w:r>
      <w:r w:rsidRPr="00D3730B">
        <w:rPr>
          <w:noProof/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1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19E25259" w14:textId="77777777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Ovim Uputama pojašnjava se proizvođačima električne energije i kupcima s vlastitom proizvodnjom, koji su obveznici plaćanja viška tržišnih prihoda iz članka 3. Zakona o provedbi Uredbe Vijeća (EU) 2022/1854 o hitnoj intervenciji za rješavanje pitanja visokih cijena energije („Narodne novine“, broj 71/23) (dalje: Obveznici), način određivanja viška tržišnih prihoda za uplatu s osnove viška tržišnih prihoda Fondu za zaštitu okoliša i energetsku učinkovitost (dalje: Fond) iz članka 6. stavka 1. </w:t>
      </w:r>
      <w:r w:rsidRPr="00D3730B">
        <w:rPr>
          <w:kern w:val="20"/>
        </w:rPr>
        <w:t>Zakona o provedbi Uredbe Vijeća (EU) 2022/1854 o hitnoj intervenciji za rješavanje pitanja visokih cijena energije („Narodne novine“, broj 71/23) (dalje: Zakon)</w:t>
      </w:r>
      <w:r w:rsidRPr="00D3730B">
        <w:rPr>
          <w:kern w:val="20"/>
          <w:lang w:eastAsia="en-US"/>
        </w:rPr>
        <w:t>.</w:t>
      </w:r>
    </w:p>
    <w:p w14:paraId="1A7DCE0A" w14:textId="77777777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Osim pojašnjenja iz stavka 1. ovoga članka, ovim Uputama pojašnjava se i način te opseg dostave podataka potrebnih za provedbu Zakona.</w:t>
      </w:r>
    </w:p>
    <w:p w14:paraId="675627D4" w14:textId="77777777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Obveznici računaju ostvareni višak tržišnih prihoda u skladu s ovim Uputama.</w:t>
      </w:r>
    </w:p>
    <w:p w14:paraId="6F42D3D1" w14:textId="4744AD2E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Proizvođač </w:t>
      </w:r>
      <w:r w:rsidR="00A0514E">
        <w:rPr>
          <w:kern w:val="20"/>
          <w:lang w:eastAsia="en-US"/>
        </w:rPr>
        <w:t xml:space="preserve">i/ili kupac s vlastitom proizvodnjom </w:t>
      </w:r>
      <w:r w:rsidRPr="00D3730B">
        <w:rPr>
          <w:kern w:val="20"/>
          <w:lang w:eastAsia="en-US"/>
        </w:rPr>
        <w:t xml:space="preserve">samo s ugovorom o otkupu koji je obveznik plaćanja viška tržišnih prihoda za podgraničnu </w:t>
      </w:r>
      <w:r w:rsidR="00B91AB5">
        <w:rPr>
          <w:kern w:val="20"/>
          <w:lang w:eastAsia="en-US"/>
        </w:rPr>
        <w:t>električnu energiju</w:t>
      </w:r>
      <w:r w:rsidR="00320ED8">
        <w:rPr>
          <w:kern w:val="20"/>
          <w:lang w:eastAsia="en-US"/>
        </w:rPr>
        <w:t xml:space="preserve"> </w:t>
      </w:r>
      <w:r w:rsidRPr="00D3730B">
        <w:rPr>
          <w:kern w:val="20"/>
          <w:lang w:eastAsia="en-US"/>
        </w:rPr>
        <w:t>je proizvođač</w:t>
      </w:r>
      <w:r w:rsidR="00A0514E">
        <w:rPr>
          <w:kern w:val="20"/>
          <w:lang w:eastAsia="en-US"/>
        </w:rPr>
        <w:t xml:space="preserve"> i/ili kupac s vlastitom proizvodnjom</w:t>
      </w:r>
      <w:r w:rsidRPr="00D3730B">
        <w:rPr>
          <w:kern w:val="20"/>
          <w:lang w:eastAsia="en-US"/>
        </w:rPr>
        <w:t xml:space="preserve"> koji osim ugovora o otkupu električne energije (naplata po količini isporučene električne energije u mrežu), nema drugih tipova ugovora za trgovanje električnom energijom na veleprodajnom tržištu električne energije (npr. prodaja količine električne energije prije njezine isporuke u mrežu).</w:t>
      </w:r>
    </w:p>
    <w:p w14:paraId="71C4F707" w14:textId="77777777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Ostvareni višak tržišnih prihoda iz članka 3. Zakona uplaćuje se Fondu prema podacima za uplatu koje Fond objavljuje na svojoj mrežnoj stranici (</w:t>
      </w:r>
      <w:hyperlink r:id="rId8" w:history="1">
        <w:r w:rsidRPr="00D3730B">
          <w:t>https://www.fzoeu.hr/</w:t>
        </w:r>
      </w:hyperlink>
      <w:r w:rsidRPr="00D3730B">
        <w:rPr>
          <w:kern w:val="20"/>
          <w:lang w:eastAsia="en-US"/>
        </w:rPr>
        <w:t>) ili koje dostavlja obvezniku plaćanja viška tržišnih prihoda na njegov zahtjev.</w:t>
      </w:r>
    </w:p>
    <w:p w14:paraId="2C45BC5C" w14:textId="77777777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Obračunsko razdoblje je od uključivo 1. prosinca 2022. do uključivo 30. lipnja 2023. a obračunski interval je kalendarski mjesec.</w:t>
      </w:r>
    </w:p>
    <w:p w14:paraId="0A57CFCB" w14:textId="77777777" w:rsidR="00D3730B" w:rsidRPr="00D3730B" w:rsidRDefault="00D3730B" w:rsidP="00D3730B">
      <w:pPr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Podgranična električna energija je električna energija proizvedena iz izvora iz članka 3. stavka 1. Zakona.</w:t>
      </w:r>
    </w:p>
    <w:p w14:paraId="65CB6554" w14:textId="77777777" w:rsidR="00D3730B" w:rsidRPr="00D3730B" w:rsidRDefault="00D3730B" w:rsidP="00D3730B">
      <w:pPr>
        <w:keepNext/>
        <w:tabs>
          <w:tab w:val="left" w:pos="426"/>
          <w:tab w:val="left" w:pos="2450"/>
        </w:tabs>
        <w:spacing w:before="600" w:after="240"/>
        <w:jc w:val="center"/>
        <w:outlineLvl w:val="1"/>
        <w:rPr>
          <w:b/>
          <w:bCs/>
          <w:kern w:val="32"/>
        </w:rPr>
      </w:pPr>
      <w:r w:rsidRPr="00D3730B">
        <w:rPr>
          <w:b/>
          <w:bCs/>
          <w:kern w:val="32"/>
        </w:rPr>
        <w:lastRenderedPageBreak/>
        <w:t>IZRAČUN OSTVARENOG VIŠKA PRIHODA</w:t>
      </w:r>
    </w:p>
    <w:p w14:paraId="46FB2567" w14:textId="375EC73E" w:rsidR="00D3730B" w:rsidRPr="00D3730B" w:rsidRDefault="00D3730B" w:rsidP="00D3730B">
      <w:pPr>
        <w:keepNext/>
        <w:spacing w:before="240" w:after="240"/>
        <w:jc w:val="center"/>
        <w:rPr>
          <w:i/>
          <w:iCs/>
          <w:kern w:val="20"/>
          <w:lang w:eastAsia="en-US"/>
        </w:rPr>
      </w:pPr>
      <w:r w:rsidRPr="00D3730B">
        <w:rPr>
          <w:i/>
          <w:iCs/>
          <w:kern w:val="20"/>
          <w:lang w:eastAsia="en-US"/>
        </w:rPr>
        <w:t>Proizvođači</w:t>
      </w:r>
      <w:r w:rsidR="00320ED8">
        <w:rPr>
          <w:i/>
          <w:iCs/>
          <w:kern w:val="20"/>
          <w:lang w:eastAsia="en-US"/>
        </w:rPr>
        <w:t xml:space="preserve"> i kupci s vlastitom proizvodnjom</w:t>
      </w:r>
    </w:p>
    <w:p w14:paraId="2BD6AAC0" w14:textId="16E5AF1A" w:rsidR="00D3730B" w:rsidRPr="00D3730B" w:rsidRDefault="00D3730B" w:rsidP="00D3730B">
      <w:pPr>
        <w:keepNext/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2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6561426B" w14:textId="0FA116D7" w:rsidR="00D3730B" w:rsidRPr="00D3730B" w:rsidRDefault="00D3730B" w:rsidP="00D3730B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Ostvareni višak tržišnih prihoda proizvođača</w:t>
      </w:r>
      <w:r w:rsidR="00320ED8">
        <w:rPr>
          <w:kern w:val="20"/>
          <w:lang w:eastAsia="en-US"/>
        </w:rPr>
        <w:t xml:space="preserve"> i/ili kupca s vlastitom proizvodnjom</w:t>
      </w:r>
      <w:r w:rsidRPr="00D3730B">
        <w:rPr>
          <w:kern w:val="20"/>
          <w:lang w:eastAsia="en-US"/>
        </w:rPr>
        <w:t xml:space="preserve"> </w:t>
      </w:r>
      <w:r w:rsidRPr="00D3730B">
        <w:rPr>
          <w:i/>
          <w:iCs/>
          <w:kern w:val="20"/>
          <w:lang w:eastAsia="en-US"/>
        </w:rPr>
        <w:t>p</w:t>
      </w:r>
      <w:r w:rsidRPr="00D3730B">
        <w:rPr>
          <w:kern w:val="20"/>
          <w:lang w:eastAsia="en-US"/>
        </w:rPr>
        <w:t xml:space="preserve"> za </w:t>
      </w:r>
      <w:r w:rsidR="001D18BD">
        <w:rPr>
          <w:kern w:val="20"/>
          <w:lang w:eastAsia="en-US"/>
        </w:rPr>
        <w:t>p</w:t>
      </w:r>
      <w:r w:rsidR="001D18BD" w:rsidRPr="001D18BD">
        <w:rPr>
          <w:kern w:val="20"/>
          <w:lang w:eastAsia="en-US"/>
        </w:rPr>
        <w:t>odgraničn</w:t>
      </w:r>
      <w:r w:rsidR="001D18BD">
        <w:rPr>
          <w:kern w:val="20"/>
          <w:lang w:eastAsia="en-US"/>
        </w:rPr>
        <w:t>u</w:t>
      </w:r>
      <w:r w:rsidR="001D18BD" w:rsidRPr="001D18BD">
        <w:rPr>
          <w:kern w:val="20"/>
          <w:lang w:eastAsia="en-US"/>
        </w:rPr>
        <w:t xml:space="preserve"> električn</w:t>
      </w:r>
      <w:r w:rsidR="001D18BD">
        <w:rPr>
          <w:kern w:val="20"/>
          <w:lang w:eastAsia="en-US"/>
        </w:rPr>
        <w:t>u</w:t>
      </w:r>
      <w:r w:rsidR="001D18BD" w:rsidRPr="001D18BD">
        <w:rPr>
          <w:kern w:val="20"/>
          <w:lang w:eastAsia="en-US"/>
        </w:rPr>
        <w:t xml:space="preserve"> energij</w:t>
      </w:r>
      <w:r w:rsidR="001D18BD">
        <w:rPr>
          <w:kern w:val="20"/>
          <w:lang w:eastAsia="en-US"/>
        </w:rPr>
        <w:t>u</w:t>
      </w:r>
      <w:r w:rsidRPr="00D3730B">
        <w:rPr>
          <w:kern w:val="20"/>
          <w:lang w:eastAsia="en-US"/>
        </w:rPr>
        <w:t>, za razdoblje od 1. prosinca 2022. do 30. lipnja 2023., izračunava se iz formule:</w:t>
      </w:r>
    </w:p>
    <w:p w14:paraId="5F3DE553" w14:textId="77777777" w:rsidR="00D3730B" w:rsidRPr="00D3730B" w:rsidRDefault="00D3730B" w:rsidP="00D3730B">
      <w:pPr>
        <w:tabs>
          <w:tab w:val="right" w:pos="8931"/>
        </w:tabs>
        <w:spacing w:before="120" w:after="120"/>
        <w:ind w:left="-142"/>
        <w:jc w:val="center"/>
        <w:rPr>
          <w:kern w:val="20"/>
          <w:lang w:eastAsia="en-US"/>
        </w:rPr>
      </w:pPr>
      <w:r w:rsidRPr="00D3730B">
        <w:rPr>
          <w:kern w:val="20"/>
          <w:position w:val="-30"/>
          <w:lang w:eastAsia="en-US"/>
        </w:rPr>
        <w:object w:dxaOrig="5955" w:dyaOrig="690" w14:anchorId="504EB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34.5pt" o:ole="">
            <v:imagedata r:id="rId9" o:title=""/>
          </v:shape>
          <o:OLEObject Type="Embed" ProgID="Equation.DSMT4" ShapeID="_x0000_i1025" DrawAspect="Content" ObjectID="_1758953597" r:id="rId10"/>
        </w:object>
      </w:r>
    </w:p>
    <w:p w14:paraId="649394EA" w14:textId="77777777" w:rsidR="00D3730B" w:rsidRPr="00D3730B" w:rsidRDefault="00D3730B" w:rsidP="00D3730B">
      <w:pPr>
        <w:spacing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gdje je:</w:t>
      </w:r>
    </w:p>
    <w:p w14:paraId="741AC278" w14:textId="70ED63C7" w:rsidR="00D3730B" w:rsidRPr="00D3730B" w:rsidRDefault="00D3730B" w:rsidP="00D3730B">
      <w:pPr>
        <w:spacing w:before="120" w:after="120"/>
        <w:ind w:left="1985" w:hanging="1418"/>
        <w:rPr>
          <w:lang w:eastAsia="en-US"/>
        </w:rPr>
      </w:pPr>
      <w:r w:rsidRPr="00D3730B">
        <w:rPr>
          <w:position w:val="-14"/>
          <w:lang w:eastAsia="en-US"/>
        </w:rPr>
        <w:object w:dxaOrig="960" w:dyaOrig="390" w14:anchorId="3B4EAF44">
          <v:shape id="_x0000_i1026" type="#_x0000_t75" style="width:48.75pt;height:19.5pt" o:ole="">
            <v:imagedata r:id="rId11" o:title=""/>
          </v:shape>
          <o:OLEObject Type="Embed" ProgID="Equation.DSMT4" ShapeID="_x0000_i1026" DrawAspect="Content" ObjectID="_1758953598" r:id="rId12"/>
        </w:object>
      </w:r>
      <w:r w:rsidRPr="00D3730B">
        <w:rPr>
          <w:i/>
          <w:iCs/>
          <w:lang w:eastAsia="en-US"/>
        </w:rPr>
        <w:tab/>
        <w:t xml:space="preserve">– </w:t>
      </w:r>
      <w:r w:rsidRPr="00D3730B">
        <w:rPr>
          <w:lang w:eastAsia="en-US"/>
        </w:rPr>
        <w:t xml:space="preserve">tržišni prihodi </w:t>
      </w:r>
      <w:r w:rsidR="00A10505" w:rsidRPr="00D3730B">
        <w:rPr>
          <w:kern w:val="20"/>
          <w:lang w:eastAsia="en-US"/>
        </w:rPr>
        <w:t>proizvođača</w:t>
      </w:r>
      <w:r w:rsidR="00A10505">
        <w:rPr>
          <w:kern w:val="20"/>
          <w:lang w:eastAsia="en-US"/>
        </w:rPr>
        <w:t xml:space="preserve"> i/ili kupca s vlastitom proizvodnjom</w:t>
      </w:r>
      <w:r w:rsidRPr="00D3730B">
        <w:rPr>
          <w:lang w:eastAsia="en-US"/>
        </w:rPr>
        <w:t xml:space="preserve"> </w:t>
      </w:r>
      <w:r w:rsidRPr="00D3730B">
        <w:rPr>
          <w:i/>
          <w:iCs/>
          <w:lang w:eastAsia="en-US"/>
        </w:rPr>
        <w:t>p</w:t>
      </w:r>
      <w:r w:rsidRPr="00D3730B">
        <w:rPr>
          <w:lang w:eastAsia="en-US"/>
        </w:rPr>
        <w:t xml:space="preserve"> od proizvodnje iz izvora s ograničenim prihodima u mjesecu </w:t>
      </w:r>
      <w:r w:rsidRPr="00D3730B">
        <w:rPr>
          <w:i/>
          <w:iCs/>
          <w:lang w:eastAsia="en-US"/>
        </w:rPr>
        <w:t xml:space="preserve">m </w:t>
      </w:r>
      <w:r w:rsidRPr="00D3730B">
        <w:rPr>
          <w:lang w:eastAsia="en-US"/>
        </w:rPr>
        <w:t>(€),</w:t>
      </w:r>
    </w:p>
    <w:p w14:paraId="41A378B8" w14:textId="1D28EC56" w:rsidR="00D3730B" w:rsidRPr="00D3730B" w:rsidRDefault="00D3730B" w:rsidP="00D3730B">
      <w:pPr>
        <w:spacing w:before="120" w:after="120"/>
        <w:ind w:left="1985" w:hanging="1418"/>
        <w:rPr>
          <w:lang w:eastAsia="en-US"/>
        </w:rPr>
      </w:pPr>
      <w:r w:rsidRPr="00D3730B">
        <w:rPr>
          <w:position w:val="-14"/>
          <w:lang w:eastAsia="en-US"/>
        </w:rPr>
        <w:object w:dxaOrig="870" w:dyaOrig="390" w14:anchorId="54A6A170">
          <v:shape id="_x0000_i1027" type="#_x0000_t75" style="width:43.5pt;height:19.5pt" o:ole="">
            <v:imagedata r:id="rId13" o:title=""/>
          </v:shape>
          <o:OLEObject Type="Embed" ProgID="Equation.DSMT4" ShapeID="_x0000_i1027" DrawAspect="Content" ObjectID="_1758953599" r:id="rId14"/>
        </w:object>
      </w:r>
      <w:r w:rsidRPr="00D3730B">
        <w:rPr>
          <w:i/>
          <w:iCs/>
          <w:lang w:eastAsia="en-US"/>
        </w:rPr>
        <w:tab/>
        <w:t xml:space="preserve">– </w:t>
      </w:r>
      <w:r w:rsidRPr="00D3730B">
        <w:rPr>
          <w:lang w:eastAsia="en-US"/>
        </w:rPr>
        <w:t xml:space="preserve">ostvarenje </w:t>
      </w:r>
      <w:r w:rsidR="00A10505" w:rsidRPr="00D3730B">
        <w:rPr>
          <w:kern w:val="20"/>
          <w:lang w:eastAsia="en-US"/>
        </w:rPr>
        <w:t>proizvođača</w:t>
      </w:r>
      <w:r w:rsidR="00A10505">
        <w:rPr>
          <w:kern w:val="20"/>
          <w:lang w:eastAsia="en-US"/>
        </w:rPr>
        <w:t xml:space="preserve"> i/ili kupca s vlastitom proizvodnjom</w:t>
      </w:r>
      <w:r w:rsidRPr="00D3730B">
        <w:rPr>
          <w:lang w:eastAsia="en-US"/>
        </w:rPr>
        <w:t xml:space="preserve"> </w:t>
      </w:r>
      <w:r w:rsidRPr="00D3730B">
        <w:rPr>
          <w:i/>
          <w:iCs/>
          <w:lang w:eastAsia="en-US"/>
        </w:rPr>
        <w:t>p</w:t>
      </w:r>
      <w:r w:rsidRPr="00D3730B">
        <w:rPr>
          <w:lang w:eastAsia="en-US"/>
        </w:rPr>
        <w:t xml:space="preserve"> od proizvodnje iz izvora s ograničenim prihodima u mjesecu </w:t>
      </w:r>
      <w:r w:rsidRPr="00D3730B">
        <w:rPr>
          <w:i/>
          <w:iCs/>
          <w:lang w:eastAsia="en-US"/>
        </w:rPr>
        <w:t>m</w:t>
      </w:r>
      <w:r w:rsidRPr="00D3730B">
        <w:rPr>
          <w:lang w:eastAsia="en-US"/>
        </w:rPr>
        <w:t xml:space="preserve"> (MWh),</w:t>
      </w:r>
    </w:p>
    <w:p w14:paraId="375AFFE3" w14:textId="77777777" w:rsidR="00D3730B" w:rsidRPr="00D3730B" w:rsidRDefault="00D3730B" w:rsidP="00D3730B">
      <w:pPr>
        <w:spacing w:before="120" w:after="120"/>
        <w:ind w:left="1985" w:hanging="1418"/>
        <w:rPr>
          <w:lang w:eastAsia="en-US"/>
        </w:rPr>
      </w:pPr>
      <w:r w:rsidRPr="00D3730B">
        <w:rPr>
          <w:lang w:eastAsia="en-US"/>
        </w:rPr>
        <w:t>GGTP</w:t>
      </w:r>
      <w:r w:rsidRPr="00D3730B">
        <w:rPr>
          <w:i/>
          <w:iCs/>
          <w:lang w:eastAsia="en-US"/>
        </w:rPr>
        <w:tab/>
        <w:t xml:space="preserve">– </w:t>
      </w:r>
      <w:r w:rsidRPr="00D3730B">
        <w:rPr>
          <w:lang w:eastAsia="en-US"/>
        </w:rPr>
        <w:t>gornja granica tržišnih prihoda proizvodnje iz izvora s ograničenim prihodima (€/MWh).</w:t>
      </w:r>
    </w:p>
    <w:p w14:paraId="39178786" w14:textId="77777777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Tržišni prihodi od proizvodnje iz izvora s ograničenim prihodima iz stavka 1. ovoga članka u kalendarskom mjesecu </w:t>
      </w:r>
      <w:r w:rsidRPr="00D3730B">
        <w:rPr>
          <w:i/>
          <w:iCs/>
          <w:kern w:val="20"/>
          <w:lang w:eastAsia="en-US"/>
        </w:rPr>
        <w:t>m</w:t>
      </w:r>
      <w:r w:rsidRPr="00D3730B">
        <w:rPr>
          <w:kern w:val="20"/>
          <w:lang w:eastAsia="en-US"/>
        </w:rPr>
        <w:t xml:space="preserve"> određuju se u skladu sa stavcima 1., 7., 8. i 9. članka 4. Zakona.</w:t>
      </w:r>
    </w:p>
    <w:p w14:paraId="56B6F446" w14:textId="77777777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Prilikom izračuna tržišnih prihoda iz ovoga članka, za ugovore s financijskim kupoprodajnim transakcijama i povezane kupoprodajne transakcije s fizičkom isporukom uzimaju se u obzir netoprihodi koji se računaju kao razlika između brutoprihoda i brutorashoda od navedenih transakcija.</w:t>
      </w:r>
    </w:p>
    <w:p w14:paraId="43C5FE0B" w14:textId="4C85D177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Ostvarenje proizvodnje iz izvora s ograničenim prihodima iz stavka 1. ovoga članka u mjesecu </w:t>
      </w:r>
      <w:r w:rsidRPr="00D3730B">
        <w:rPr>
          <w:i/>
          <w:iCs/>
          <w:kern w:val="20"/>
          <w:lang w:eastAsia="en-US"/>
        </w:rPr>
        <w:t>m</w:t>
      </w:r>
      <w:r w:rsidRPr="00D3730B">
        <w:rPr>
          <w:kern w:val="20"/>
          <w:lang w:eastAsia="en-US"/>
        </w:rPr>
        <w:t xml:space="preserve"> određuje se na temelju količine </w:t>
      </w:r>
      <w:r w:rsidR="001D18BD" w:rsidRPr="001D18BD">
        <w:rPr>
          <w:kern w:val="20"/>
          <w:lang w:eastAsia="en-US"/>
        </w:rPr>
        <w:t>podgraničn</w:t>
      </w:r>
      <w:r w:rsidR="001D18BD">
        <w:rPr>
          <w:kern w:val="20"/>
          <w:lang w:eastAsia="en-US"/>
        </w:rPr>
        <w:t>e</w:t>
      </w:r>
      <w:r w:rsidR="001D18BD" w:rsidRPr="001D18BD">
        <w:rPr>
          <w:kern w:val="20"/>
          <w:lang w:eastAsia="en-US"/>
        </w:rPr>
        <w:t xml:space="preserve"> električn</w:t>
      </w:r>
      <w:r w:rsidR="001D18BD">
        <w:rPr>
          <w:kern w:val="20"/>
          <w:lang w:eastAsia="en-US"/>
        </w:rPr>
        <w:t>e</w:t>
      </w:r>
      <w:r w:rsidR="001D18BD" w:rsidRPr="001D18BD">
        <w:rPr>
          <w:kern w:val="20"/>
          <w:lang w:eastAsia="en-US"/>
        </w:rPr>
        <w:t xml:space="preserve"> energij</w:t>
      </w:r>
      <w:r w:rsidR="001D18BD">
        <w:rPr>
          <w:kern w:val="20"/>
          <w:lang w:eastAsia="en-US"/>
        </w:rPr>
        <w:t>e</w:t>
      </w:r>
      <w:r w:rsidR="001D18BD" w:rsidRPr="001D18BD">
        <w:rPr>
          <w:kern w:val="20"/>
          <w:lang w:eastAsia="en-US"/>
        </w:rPr>
        <w:t xml:space="preserve"> </w:t>
      </w:r>
      <w:r w:rsidRPr="00D3730B">
        <w:rPr>
          <w:kern w:val="20"/>
          <w:lang w:eastAsia="en-US"/>
        </w:rPr>
        <w:t>predane u mrežu na obračunskim mjerni</w:t>
      </w:r>
      <w:r w:rsidR="00FE1484">
        <w:rPr>
          <w:kern w:val="20"/>
          <w:lang w:eastAsia="en-US"/>
        </w:rPr>
        <w:t>m</w:t>
      </w:r>
      <w:r w:rsidRPr="00D3730B">
        <w:rPr>
          <w:kern w:val="20"/>
          <w:lang w:eastAsia="en-US"/>
        </w:rPr>
        <w:t xml:space="preserve"> mjestima proizvođača</w:t>
      </w:r>
      <w:r w:rsidRPr="00D3730B">
        <w:rPr>
          <w:i/>
          <w:iCs/>
          <w:kern w:val="20"/>
          <w:lang w:eastAsia="en-US"/>
        </w:rPr>
        <w:t xml:space="preserve"> </w:t>
      </w:r>
      <w:r w:rsidRPr="00D3730B">
        <w:rPr>
          <w:kern w:val="20"/>
          <w:lang w:eastAsia="en-US"/>
        </w:rPr>
        <w:t xml:space="preserve">iz izvora definiranih člankom 3. </w:t>
      </w:r>
      <w:r w:rsidR="003F455D">
        <w:rPr>
          <w:kern w:val="20"/>
          <w:lang w:eastAsia="en-US"/>
        </w:rPr>
        <w:t xml:space="preserve">stavkom 1. </w:t>
      </w:r>
      <w:r w:rsidRPr="00D3730B">
        <w:rPr>
          <w:kern w:val="20"/>
          <w:lang w:eastAsia="en-US"/>
        </w:rPr>
        <w:t>Zakona.</w:t>
      </w:r>
    </w:p>
    <w:p w14:paraId="1DAFB2F5" w14:textId="77777777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Ostvarenje proizvodnje iz stavka 4. ovoga članka i prihodi iz stavka 2. ovoga članka u mjesecu </w:t>
      </w:r>
      <w:r w:rsidRPr="00D3730B">
        <w:rPr>
          <w:i/>
          <w:iCs/>
          <w:kern w:val="20"/>
          <w:lang w:eastAsia="en-US"/>
        </w:rPr>
        <w:t>m</w:t>
      </w:r>
      <w:r w:rsidRPr="00D3730B">
        <w:rPr>
          <w:kern w:val="20"/>
          <w:lang w:eastAsia="en-US"/>
        </w:rPr>
        <w:t xml:space="preserve"> za obračunskom mjerno mjesto kupca s vlastitom proizvodnjom određuje se uvažavajući članak 3. stavak 3. podstavak 3. Zakona.</w:t>
      </w:r>
    </w:p>
    <w:p w14:paraId="78711500" w14:textId="0B1AD06D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Gornja granica tržišnih prihoda GGTP određena je člankom 3. Zakona i iznosi 180 €/MWh, osim u slučaju kada Agencija prema proceduri predviđenoj člankom 5. Zakona za pojedinog proizvođača </w:t>
      </w:r>
      <w:r w:rsidR="003F455D">
        <w:rPr>
          <w:kern w:val="20"/>
          <w:lang w:eastAsia="en-US"/>
        </w:rPr>
        <w:t>i/ili kupca s vlastitom pro</w:t>
      </w:r>
      <w:r w:rsidR="00927623">
        <w:rPr>
          <w:kern w:val="20"/>
          <w:lang w:eastAsia="en-US"/>
        </w:rPr>
        <w:t>izvodnjom</w:t>
      </w:r>
      <w:r w:rsidR="003F455D">
        <w:rPr>
          <w:kern w:val="20"/>
          <w:lang w:eastAsia="en-US"/>
        </w:rPr>
        <w:t xml:space="preserve"> </w:t>
      </w:r>
      <w:r w:rsidRPr="00D3730B">
        <w:rPr>
          <w:kern w:val="20"/>
          <w:lang w:eastAsia="en-US"/>
        </w:rPr>
        <w:t>donese odluku o iznimci od ograničenja viška tržišnih prihoda kojom se utvrđuje nova najviša cijena jednaka cijeni proizvedene električne energije po MWh.</w:t>
      </w:r>
    </w:p>
    <w:p w14:paraId="253FA374" w14:textId="27FB1CBE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Ako se neka vrijednost potrebna za izračun iz stavka 1. ovoga članka iz objektivnih razloga ne može jednoznačno odrediti, </w:t>
      </w:r>
      <w:r w:rsidR="006C4E65">
        <w:rPr>
          <w:kern w:val="20"/>
          <w:lang w:eastAsia="en-US"/>
        </w:rPr>
        <w:t>subjekt</w:t>
      </w:r>
      <w:r w:rsidRPr="00D3730B">
        <w:rPr>
          <w:kern w:val="20"/>
          <w:lang w:eastAsia="en-US"/>
        </w:rPr>
        <w:t xml:space="preserve"> iz stavka 1. ovoga članka ju procjenjuje.</w:t>
      </w:r>
    </w:p>
    <w:p w14:paraId="156E55C3" w14:textId="33B85400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 U slučaju neodgovarajuće procjene iz stavka 7. ovoga članka, Agencija će pozvati </w:t>
      </w:r>
      <w:r w:rsidR="00123B65">
        <w:rPr>
          <w:kern w:val="20"/>
          <w:lang w:eastAsia="en-US"/>
        </w:rPr>
        <w:t xml:space="preserve">subjekta </w:t>
      </w:r>
      <w:r w:rsidRPr="00D3730B">
        <w:rPr>
          <w:kern w:val="20"/>
          <w:lang w:eastAsia="en-US"/>
        </w:rPr>
        <w:t>iz stavka 7. na korekciju i dostavu ponovljenog izračuna ostvarenog viška tržišnih prihoda.</w:t>
      </w:r>
    </w:p>
    <w:p w14:paraId="44DCCB4B" w14:textId="27C2155E" w:rsidR="00D3730B" w:rsidRPr="00D3730B" w:rsidRDefault="00D3730B" w:rsidP="004F2DCF">
      <w:pPr>
        <w:numPr>
          <w:ilvl w:val="0"/>
          <w:numId w:val="14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Kada </w:t>
      </w:r>
      <w:r w:rsidR="00646805">
        <w:rPr>
          <w:kern w:val="20"/>
          <w:lang w:eastAsia="en-US"/>
        </w:rPr>
        <w:t>subjekt iz stavka 1. ovoga članka</w:t>
      </w:r>
      <w:r w:rsidRPr="00D3730B">
        <w:rPr>
          <w:kern w:val="20"/>
          <w:lang w:eastAsia="en-US"/>
        </w:rPr>
        <w:t xml:space="preserve"> dio ili cijeli iznos električne energije proizvedene iz izvora definiranih člankom 3. </w:t>
      </w:r>
      <w:r w:rsidR="00AE7F9B">
        <w:rPr>
          <w:kern w:val="20"/>
          <w:lang w:eastAsia="en-US"/>
        </w:rPr>
        <w:t xml:space="preserve">stavkom 1. </w:t>
      </w:r>
      <w:r w:rsidRPr="00D3730B">
        <w:rPr>
          <w:kern w:val="20"/>
          <w:lang w:eastAsia="en-US"/>
        </w:rPr>
        <w:t xml:space="preserve">Zakona ne prodaje na veleprodajnom tržištu električne energije, nego udio električne energije prodaje krajnjim kupcima na maloprodajnom tržištu, prihodi s maloprodajnog tržišta se ne uključuju u prihode proizvođača </w:t>
      </w:r>
      <w:r w:rsidR="00BA7775">
        <w:rPr>
          <w:kern w:val="20"/>
          <w:lang w:eastAsia="en-US"/>
        </w:rPr>
        <w:t xml:space="preserve">i/ili kupca s vlastitom proizvodnjom </w:t>
      </w:r>
      <w:r w:rsidRPr="00D3730B">
        <w:rPr>
          <w:kern w:val="20"/>
          <w:lang w:eastAsia="en-US"/>
        </w:rPr>
        <w:t>sukladno članku 4. stavku 1. Zakona.</w:t>
      </w:r>
    </w:p>
    <w:p w14:paraId="656FD196" w14:textId="342F6070" w:rsidR="00D3730B" w:rsidRPr="00D3730B" w:rsidRDefault="003528B6" w:rsidP="003528B6">
      <w:pPr>
        <w:numPr>
          <w:ilvl w:val="0"/>
          <w:numId w:val="14"/>
        </w:numPr>
        <w:tabs>
          <w:tab w:val="left" w:pos="567"/>
        </w:tabs>
        <w:spacing w:before="120" w:after="120"/>
        <w:ind w:hanging="502"/>
        <w:rPr>
          <w:kern w:val="20"/>
          <w:lang w:eastAsia="en-US"/>
        </w:rPr>
      </w:pPr>
      <w:r>
        <w:rPr>
          <w:kern w:val="20"/>
          <w:lang w:eastAsia="en-US"/>
        </w:rPr>
        <w:lastRenderedPageBreak/>
        <w:t>Subjekti</w:t>
      </w:r>
      <w:r w:rsidR="00D3730B" w:rsidRPr="00D3730B">
        <w:rPr>
          <w:kern w:val="20"/>
          <w:lang w:eastAsia="en-US"/>
        </w:rPr>
        <w:t xml:space="preserve"> koji su ishodili odluku Agencije o iznimci od ograničenja viška tržišnih prihoda temeljem članka 5. Zakona</w:t>
      </w:r>
      <w:r w:rsidR="0088683A">
        <w:rPr>
          <w:kern w:val="20"/>
          <w:lang w:eastAsia="en-US"/>
        </w:rPr>
        <w:t>,</w:t>
      </w:r>
      <w:r w:rsidR="00D3730B" w:rsidRPr="00D3730B">
        <w:rPr>
          <w:kern w:val="20"/>
          <w:lang w:eastAsia="en-US"/>
        </w:rPr>
        <w:t xml:space="preserve"> višak tržišnih prihoda računaju izdvojeno za obračunska mjerna mjesta na koja se odnosi odluka Agencije.</w:t>
      </w:r>
    </w:p>
    <w:p w14:paraId="0DC8636D" w14:textId="77777777" w:rsidR="00D3730B" w:rsidRPr="00D3730B" w:rsidRDefault="00D3730B" w:rsidP="00D3730B">
      <w:pPr>
        <w:keepNext/>
        <w:tabs>
          <w:tab w:val="left" w:pos="426"/>
          <w:tab w:val="left" w:pos="2450"/>
        </w:tabs>
        <w:spacing w:before="600" w:after="240"/>
        <w:jc w:val="center"/>
        <w:outlineLvl w:val="1"/>
        <w:rPr>
          <w:b/>
          <w:bCs/>
          <w:kern w:val="32"/>
        </w:rPr>
      </w:pPr>
      <w:r w:rsidRPr="00D3730B">
        <w:rPr>
          <w:b/>
          <w:bCs/>
          <w:kern w:val="32"/>
        </w:rPr>
        <w:t>DOSTAVA PODATAKA, DOKUMENATA I INFORMACIJA AGENCIJI</w:t>
      </w:r>
    </w:p>
    <w:p w14:paraId="5B9B10B5" w14:textId="54527F84" w:rsidR="00D3730B" w:rsidRPr="00D3730B" w:rsidRDefault="00D3730B" w:rsidP="00D3730B">
      <w:pPr>
        <w:keepNext/>
        <w:spacing w:before="240" w:after="240"/>
        <w:jc w:val="center"/>
        <w:rPr>
          <w:i/>
          <w:iCs/>
          <w:kern w:val="20"/>
        </w:rPr>
      </w:pPr>
      <w:r w:rsidRPr="00D3730B">
        <w:rPr>
          <w:i/>
          <w:iCs/>
          <w:kern w:val="20"/>
        </w:rPr>
        <w:t>Proizvođač</w:t>
      </w:r>
      <w:r w:rsidR="003C5992">
        <w:rPr>
          <w:i/>
          <w:iCs/>
          <w:kern w:val="20"/>
        </w:rPr>
        <w:t xml:space="preserve"> i/ili kup</w:t>
      </w:r>
      <w:r w:rsidR="00295A66">
        <w:rPr>
          <w:i/>
          <w:iCs/>
          <w:kern w:val="20"/>
        </w:rPr>
        <w:t>ac</w:t>
      </w:r>
      <w:r w:rsidR="003C5992">
        <w:rPr>
          <w:i/>
          <w:iCs/>
          <w:kern w:val="20"/>
        </w:rPr>
        <w:t xml:space="preserve"> s vlastitom proizvodnjom</w:t>
      </w:r>
      <w:r w:rsidRPr="00D3730B">
        <w:rPr>
          <w:i/>
          <w:iCs/>
          <w:kern w:val="20"/>
        </w:rPr>
        <w:t xml:space="preserve"> samo s ugovorom o otkupu</w:t>
      </w:r>
    </w:p>
    <w:p w14:paraId="66DCCDDD" w14:textId="06F17026" w:rsidR="00D3730B" w:rsidRPr="00D3730B" w:rsidRDefault="00D3730B" w:rsidP="00D3730B">
      <w:pPr>
        <w:keepNext/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3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3FD27685" w14:textId="238A2C4E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Proizvođač </w:t>
      </w:r>
      <w:r w:rsidR="00CF6977">
        <w:rPr>
          <w:kern w:val="20"/>
          <w:lang w:eastAsia="en-US"/>
        </w:rPr>
        <w:t>i/ili kup</w:t>
      </w:r>
      <w:r w:rsidR="00746916">
        <w:rPr>
          <w:kern w:val="20"/>
          <w:lang w:eastAsia="en-US"/>
        </w:rPr>
        <w:t xml:space="preserve">ac </w:t>
      </w:r>
      <w:r w:rsidR="00CF6977">
        <w:rPr>
          <w:kern w:val="20"/>
          <w:lang w:eastAsia="en-US"/>
        </w:rPr>
        <w:t xml:space="preserve">s vlastitom proizvodnjom </w:t>
      </w:r>
      <w:r w:rsidRPr="00D3730B">
        <w:rPr>
          <w:kern w:val="20"/>
          <w:lang w:eastAsia="en-US"/>
        </w:rPr>
        <w:t xml:space="preserve">samo s ugovorom o otkupu iz članka 1. stavka 4. ovih Uputa, koji je obveznik plaćanja viška tržišnih prihoda za </w:t>
      </w:r>
      <w:r w:rsidR="001D18BD" w:rsidRPr="001D18BD">
        <w:rPr>
          <w:kern w:val="20"/>
          <w:lang w:eastAsia="en-US"/>
        </w:rPr>
        <w:t>podgraničn</w:t>
      </w:r>
      <w:r w:rsidR="00D551C3">
        <w:rPr>
          <w:kern w:val="20"/>
          <w:lang w:eastAsia="en-US"/>
        </w:rPr>
        <w:t>u</w:t>
      </w:r>
      <w:r w:rsidR="001D18BD" w:rsidRPr="001D18BD">
        <w:rPr>
          <w:kern w:val="20"/>
          <w:lang w:eastAsia="en-US"/>
        </w:rPr>
        <w:t xml:space="preserve"> električn</w:t>
      </w:r>
      <w:r w:rsidR="00D551C3">
        <w:rPr>
          <w:kern w:val="20"/>
          <w:lang w:eastAsia="en-US"/>
        </w:rPr>
        <w:t>u</w:t>
      </w:r>
      <w:r w:rsidR="001D18BD" w:rsidRPr="001D18BD">
        <w:rPr>
          <w:kern w:val="20"/>
          <w:lang w:eastAsia="en-US"/>
        </w:rPr>
        <w:t xml:space="preserve"> energij</w:t>
      </w:r>
      <w:r w:rsidR="00D551C3">
        <w:rPr>
          <w:kern w:val="20"/>
          <w:lang w:eastAsia="en-US"/>
        </w:rPr>
        <w:t>u</w:t>
      </w:r>
      <w:r w:rsidRPr="00D3730B">
        <w:rPr>
          <w:kern w:val="20"/>
          <w:lang w:eastAsia="en-US"/>
        </w:rPr>
        <w:t xml:space="preserve">, dužan je Agenciji u elektroničkom obliku na adresu elektroničke pošte </w:t>
      </w:r>
      <w:hyperlink r:id="rId15" w:history="1">
        <w:r w:rsidRPr="00D3730B">
          <w:rPr>
            <w:color w:val="0000FF"/>
            <w:kern w:val="20"/>
            <w:u w:val="single"/>
            <w:lang w:eastAsia="en-US"/>
          </w:rPr>
          <w:t>uredba1854@hera.hr</w:t>
        </w:r>
      </w:hyperlink>
      <w:r w:rsidRPr="00D3730B">
        <w:rPr>
          <w:kern w:val="20"/>
          <w:lang w:eastAsia="en-US"/>
        </w:rPr>
        <w:t xml:space="preserve">, za svaki obračunski interval obračuna viška tržišnih prihoda (kalendarski mjesec) dostaviti račune za prodanu </w:t>
      </w:r>
      <w:r w:rsidR="00B91AB5" w:rsidRPr="00B91AB5">
        <w:rPr>
          <w:kern w:val="20"/>
          <w:lang w:eastAsia="en-US"/>
        </w:rPr>
        <w:t>podgraničn</w:t>
      </w:r>
      <w:r w:rsidR="00B91AB5">
        <w:rPr>
          <w:kern w:val="20"/>
          <w:lang w:eastAsia="en-US"/>
        </w:rPr>
        <w:t>u</w:t>
      </w:r>
      <w:r w:rsidR="00B91AB5" w:rsidRPr="00B91AB5">
        <w:rPr>
          <w:kern w:val="20"/>
          <w:lang w:eastAsia="en-US"/>
        </w:rPr>
        <w:t xml:space="preserve"> električn</w:t>
      </w:r>
      <w:r w:rsidR="00B91AB5">
        <w:rPr>
          <w:kern w:val="20"/>
          <w:lang w:eastAsia="en-US"/>
        </w:rPr>
        <w:t>u</w:t>
      </w:r>
      <w:r w:rsidR="00B91AB5" w:rsidRPr="00B91AB5">
        <w:rPr>
          <w:kern w:val="20"/>
          <w:lang w:eastAsia="en-US"/>
        </w:rPr>
        <w:t xml:space="preserve"> energij</w:t>
      </w:r>
      <w:r w:rsidR="00B91AB5">
        <w:rPr>
          <w:kern w:val="20"/>
          <w:lang w:eastAsia="en-US"/>
        </w:rPr>
        <w:t>u</w:t>
      </w:r>
      <w:r w:rsidRPr="00D3730B">
        <w:rPr>
          <w:kern w:val="20"/>
          <w:lang w:eastAsia="en-US"/>
        </w:rPr>
        <w:t>, kao i ugovore o otkupu koji se odnose na razdoblje od 1. prosinca 2022. do 30 lipnja 2023., te podatke o izvršenim uplatama s osnove viška tržišnih prihoda Fondu.</w:t>
      </w:r>
    </w:p>
    <w:p w14:paraId="0819A0FD" w14:textId="72CC09FC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Ako na računu iz stavka 1. ovoga članka nije vidljiva količina prodane </w:t>
      </w:r>
      <w:r w:rsidR="005925BC">
        <w:rPr>
          <w:kern w:val="20"/>
          <w:lang w:eastAsia="en-US"/>
        </w:rPr>
        <w:t xml:space="preserve">podgranične </w:t>
      </w:r>
      <w:r w:rsidRPr="00D3730B">
        <w:rPr>
          <w:kern w:val="20"/>
          <w:lang w:eastAsia="en-US"/>
        </w:rPr>
        <w:t>električne energije i iznos prihoda u pojedinom kalendarskom mjesecu, proizvođač</w:t>
      </w:r>
      <w:r w:rsidR="00913F40">
        <w:rPr>
          <w:kern w:val="20"/>
          <w:lang w:eastAsia="en-US"/>
        </w:rPr>
        <w:t xml:space="preserve"> i/ili kupac s vlastitom proizvodnjom</w:t>
      </w:r>
      <w:r w:rsidRPr="00D3730B">
        <w:rPr>
          <w:kern w:val="20"/>
          <w:lang w:eastAsia="en-US"/>
        </w:rPr>
        <w:t xml:space="preserve"> samo s ugovorom o otkupu treba dostaviti dokaze iz kojih je vidljiva količina prodane električne energije i prihodi od prodaje električne energije.</w:t>
      </w:r>
    </w:p>
    <w:p w14:paraId="5A41C720" w14:textId="2CE1A571" w:rsidR="00D3730B" w:rsidRPr="00D3730B" w:rsidRDefault="00913F40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>
        <w:rPr>
          <w:kern w:val="20"/>
          <w:lang w:eastAsia="en-US"/>
        </w:rPr>
        <w:t>Subjekt</w:t>
      </w:r>
      <w:r w:rsidR="00D3730B" w:rsidRPr="00D3730B">
        <w:rPr>
          <w:kern w:val="20"/>
          <w:lang w:eastAsia="en-US"/>
        </w:rPr>
        <w:t xml:space="preserve"> iz stavka 1. ovoga članka dužan je na adresu elektroničke pošte </w:t>
      </w:r>
      <w:hyperlink r:id="rId16" w:history="1">
        <w:r w:rsidR="00D3730B" w:rsidRPr="00D3730B">
          <w:rPr>
            <w:color w:val="0000FF"/>
            <w:kern w:val="20"/>
            <w:u w:val="single"/>
            <w:lang w:eastAsia="en-US"/>
          </w:rPr>
          <w:t>uredba1854@hera.hr</w:t>
        </w:r>
      </w:hyperlink>
      <w:r w:rsidR="00D3730B" w:rsidRPr="00D3730B">
        <w:rPr>
          <w:kern w:val="20"/>
          <w:lang w:eastAsia="en-US"/>
        </w:rPr>
        <w:t xml:space="preserve"> Agenciji dostaviti informaciju o kontakt osobi za komunikaciju s Agencijom (ime i prezime, adresa elektroničke pošte, broj telefona).</w:t>
      </w:r>
    </w:p>
    <w:p w14:paraId="2880FFD3" w14:textId="5B5A2D9E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Na temelju dokaza iz stavka 1. i/ili 2. ovoga članka, </w:t>
      </w:r>
      <w:r w:rsidR="00913F40">
        <w:rPr>
          <w:kern w:val="20"/>
          <w:lang w:eastAsia="en-US"/>
        </w:rPr>
        <w:t>subjekt</w:t>
      </w:r>
      <w:r w:rsidRPr="00D3730B">
        <w:rPr>
          <w:kern w:val="20"/>
          <w:lang w:eastAsia="en-US"/>
        </w:rPr>
        <w:t xml:space="preserve"> iz ovoga članka je dužan Agenciji dostaviti izračun viška tržišnih prihoda objedinjeno za sva obračunska mjerna mjesta (dalje: OMM) koja su obuhvaćena izračunom viška tržišnih prihoda na način prikazan u sljedećoj tablici: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1986"/>
        <w:gridCol w:w="1986"/>
        <w:gridCol w:w="2553"/>
      </w:tblGrid>
      <w:tr w:rsidR="00D3730B" w:rsidRPr="00D3730B" w14:paraId="3BD4B3F0" w14:textId="77777777" w:rsidTr="00D3730B">
        <w:trPr>
          <w:cantSplit/>
          <w:trHeight w:val="425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31C63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00E4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Obračunski interval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1FA4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B73C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5EC7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C = max((A/B – 180)·B; 0)</w:t>
            </w:r>
          </w:p>
        </w:tc>
      </w:tr>
      <w:tr w:rsidR="00D3730B" w:rsidRPr="00D3730B" w14:paraId="7056AF51" w14:textId="77777777" w:rsidTr="00D3730B">
        <w:trPr>
          <w:cantSplit/>
          <w:trHeight w:val="425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824" w14:textId="77777777" w:rsidR="00D3730B" w:rsidRPr="00D3730B" w:rsidRDefault="00D3730B" w:rsidP="00D3730B">
            <w:pPr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F1A2" w14:textId="77777777" w:rsidR="00D3730B" w:rsidRPr="00D3730B" w:rsidRDefault="00D3730B" w:rsidP="00D3730B">
            <w:pPr>
              <w:jc w:val="left"/>
              <w:rPr>
                <w:rFonts w:eastAsia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A48C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Prihodi</w:t>
            </w: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br/>
              <w:t>od svih OMM-ova, [€]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C80C0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Količina energije</w:t>
            </w: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br/>
              <w:t>od svih OMM-ova, [MWh]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2330" w14:textId="77777777" w:rsidR="00D3730B" w:rsidRPr="00D3730B" w:rsidRDefault="00D3730B" w:rsidP="00D3730B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D3730B">
              <w:rPr>
                <w:rFonts w:eastAsia="Calibri" w:cs="Calibri"/>
                <w:b/>
                <w:bCs/>
                <w:sz w:val="20"/>
                <w:szCs w:val="20"/>
              </w:rPr>
              <w:t>Višak tržišnih prihoda, [€]</w:t>
            </w:r>
          </w:p>
        </w:tc>
      </w:tr>
      <w:tr w:rsidR="00D3730B" w:rsidRPr="00D3730B" w14:paraId="0827B87A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B02F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DB5B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prosinac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1B9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50D33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259D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65BAB32A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DBE3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CD1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siječanj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D2063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543A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FBE1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44E9BB20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3696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FAA7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veljača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68A33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07C79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425C5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7AFFB688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C9C2E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07D95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ožujak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940B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25ED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C0BDC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1B5D253B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87C7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A74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travanj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0071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BFC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9F448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2BBF70C7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0F5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A69D3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svibanj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7D8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D53AB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B27F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7DB85BAA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566F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EDFDB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lipanj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E8DE1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5C8DA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4469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  <w:tr w:rsidR="00D3730B" w:rsidRPr="00D3730B" w14:paraId="35034095" w14:textId="77777777" w:rsidTr="00D3730B">
        <w:trPr>
          <w:cantSplit/>
          <w:trHeight w:val="4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7BC6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2DE0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D3730B">
              <w:rPr>
                <w:rFonts w:eastAsia="Calibri" w:cs="Calibri"/>
                <w:sz w:val="20"/>
                <w:szCs w:val="20"/>
              </w:rPr>
              <w:t>Ukupno (1.+2.+3. +4.+5.+6.+7.)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C724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E9C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8CC" w14:textId="77777777" w:rsidR="00D3730B" w:rsidRPr="00D3730B" w:rsidRDefault="00D3730B" w:rsidP="00D3730B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</w:tr>
    </w:tbl>
    <w:p w14:paraId="58D16FFD" w14:textId="77777777" w:rsidR="00D3730B" w:rsidRPr="00D3730B" w:rsidRDefault="00D3730B" w:rsidP="00D3730B">
      <w:pPr>
        <w:rPr>
          <w:lang w:eastAsia="en-US"/>
        </w:rPr>
      </w:pPr>
    </w:p>
    <w:p w14:paraId="75C23145" w14:textId="24195A9F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Ostvarenje proizvodnje i prihodi iz stavka 4. ovoga članka u mjesecu </w:t>
      </w:r>
      <w:r w:rsidRPr="00D3730B">
        <w:rPr>
          <w:i/>
          <w:iCs/>
          <w:kern w:val="20"/>
          <w:lang w:eastAsia="en-US"/>
        </w:rPr>
        <w:t>m</w:t>
      </w:r>
      <w:r w:rsidRPr="00D3730B">
        <w:rPr>
          <w:kern w:val="20"/>
          <w:lang w:eastAsia="en-US"/>
        </w:rPr>
        <w:t xml:space="preserve">, za obračunsko mjerno mjesto kupca s vlastitom proizvodnjom koje je obuhvaćeno izračunom viška tržišnih prihoda koji se određuje uvažavajući članak 3. stavak 3. podstavak 3. Zakona, popunjavaju se u </w:t>
      </w:r>
      <w:r w:rsidRPr="00D3730B">
        <w:rPr>
          <w:kern w:val="20"/>
          <w:lang w:eastAsia="en-US"/>
        </w:rPr>
        <w:lastRenderedPageBreak/>
        <w:t>sljedećoj tablici i pridodaju se u tablicu iz stavka 4. ovoga članka</w:t>
      </w:r>
      <w:r w:rsidR="00DD14AF">
        <w:rPr>
          <w:kern w:val="20"/>
          <w:lang w:eastAsia="en-US"/>
        </w:rPr>
        <w:t>, prema pripadnom Excel dokumentu iz Priloga 2. ovih Uputa</w:t>
      </w:r>
      <w:r w:rsidRPr="00D3730B">
        <w:rPr>
          <w:kern w:val="20"/>
          <w:lang w:eastAsia="en-US"/>
        </w:rPr>
        <w:t>:</w:t>
      </w:r>
    </w:p>
    <w:tbl>
      <w:tblPr>
        <w:tblStyle w:val="TableGrid"/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986"/>
        <w:gridCol w:w="1986"/>
        <w:gridCol w:w="1985"/>
        <w:gridCol w:w="2269"/>
      </w:tblGrid>
      <w:tr w:rsidR="00D3730B" w:rsidRPr="00D3730B" w14:paraId="62B4F7AC" w14:textId="77777777" w:rsidTr="00D3730B">
        <w:trPr>
          <w:cantSplit/>
          <w:trHeight w:val="284"/>
          <w:tblHeader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27A4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Obračunski interval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96EB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9522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F213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C=B-A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89A3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D</w:t>
            </w:r>
          </w:p>
        </w:tc>
      </w:tr>
      <w:tr w:rsidR="00D3730B" w:rsidRPr="00D3730B" w14:paraId="0E866B9B" w14:textId="77777777" w:rsidTr="00D3730B">
        <w:trPr>
          <w:cantSplit/>
          <w:trHeight w:val="284"/>
          <w:tblHeader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9EF" w14:textId="77777777" w:rsidR="00D3730B" w:rsidRPr="00D3730B" w:rsidRDefault="00D3730B" w:rsidP="00D3730B">
            <w:pPr>
              <w:rPr>
                <w:rFonts w:ascii="Calibri" w:hAnsi="Calibri" w:cs="Calibri"/>
                <w:b/>
                <w:bCs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D79C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Količina isporučene električne energije iz OMM-a, [MWh]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30B9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Količina preuzete električne energije u OMM, [MWh]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F3C2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Razlika između predane i preuzete električne energije iz OMM-a [MWh]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F6B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b/>
                <w:bCs/>
                <w:kern w:val="20"/>
                <w:sz w:val="20"/>
              </w:rPr>
            </w:pPr>
            <w:r w:rsidRPr="00D3730B">
              <w:rPr>
                <w:rFonts w:cs="Calibri"/>
                <w:b/>
                <w:bCs/>
                <w:kern w:val="20"/>
                <w:sz w:val="20"/>
              </w:rPr>
              <w:t>Prihodi od razlike između predane i preuzete električne energije iz OMM-a [€]</w:t>
            </w:r>
          </w:p>
        </w:tc>
      </w:tr>
      <w:tr w:rsidR="00D3730B" w:rsidRPr="00D3730B" w14:paraId="0C9E9017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C178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prosinac 2022.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038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633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4E9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527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  <w:tr w:rsidR="00D3730B" w:rsidRPr="00D3730B" w14:paraId="76A1BD6A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6A71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siječanj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1B5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72BB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1F1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481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  <w:tr w:rsidR="00D3730B" w:rsidRPr="00D3730B" w14:paraId="318BE948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8292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veljača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6A4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05FC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574F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579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  <w:tr w:rsidR="00D3730B" w:rsidRPr="00D3730B" w14:paraId="7B0312BC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3D14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ožujak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24DE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5B79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07E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BF5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  <w:tr w:rsidR="00D3730B" w:rsidRPr="00D3730B" w14:paraId="2F6FE75C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A0FF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travanj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2349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A0C1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1E7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A4C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  <w:tr w:rsidR="00D3730B" w:rsidRPr="00D3730B" w14:paraId="619919FF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6E6A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svibanj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C8FA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EB07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49B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677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  <w:tr w:rsidR="00D3730B" w:rsidRPr="00D3730B" w14:paraId="576CB8AB" w14:textId="77777777" w:rsidTr="00D3730B">
        <w:trPr>
          <w:cantSplit/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3283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  <w:r w:rsidRPr="00D3730B">
              <w:rPr>
                <w:rFonts w:cs="Calibri"/>
                <w:kern w:val="20"/>
                <w:sz w:val="20"/>
              </w:rPr>
              <w:t>lipanj 2023.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47D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04A4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CA44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F81" w14:textId="77777777" w:rsidR="00D3730B" w:rsidRPr="00D3730B" w:rsidRDefault="00D3730B" w:rsidP="00D3730B">
            <w:pPr>
              <w:tabs>
                <w:tab w:val="left" w:pos="567"/>
              </w:tabs>
              <w:jc w:val="center"/>
              <w:rPr>
                <w:rFonts w:ascii="Calibri" w:hAnsi="Calibri" w:cs="Calibri"/>
                <w:kern w:val="20"/>
                <w:sz w:val="20"/>
              </w:rPr>
            </w:pPr>
          </w:p>
        </w:tc>
      </w:tr>
    </w:tbl>
    <w:p w14:paraId="00F56C0A" w14:textId="77777777" w:rsidR="00D3730B" w:rsidRPr="00D3730B" w:rsidRDefault="00D3730B" w:rsidP="00D3730B">
      <w:pPr>
        <w:rPr>
          <w:lang w:eastAsia="en-US"/>
        </w:rPr>
      </w:pPr>
    </w:p>
    <w:p w14:paraId="623E6F08" w14:textId="3DD4366D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Prihodi od razlike između predane i preuzete podgranične električne energije određuju se prema cijeni predane </w:t>
      </w:r>
      <w:r w:rsidR="008A45FD">
        <w:rPr>
          <w:kern w:val="20"/>
          <w:lang w:eastAsia="en-US"/>
        </w:rPr>
        <w:t xml:space="preserve">podgranične </w:t>
      </w:r>
      <w:r w:rsidRPr="00D3730B">
        <w:rPr>
          <w:kern w:val="20"/>
          <w:lang w:eastAsia="en-US"/>
        </w:rPr>
        <w:t>električne energije u mrežu.</w:t>
      </w:r>
    </w:p>
    <w:p w14:paraId="103676FA" w14:textId="1E4D4850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Ako </w:t>
      </w:r>
      <w:r w:rsidR="00595D88">
        <w:rPr>
          <w:kern w:val="20"/>
          <w:lang w:eastAsia="en-US"/>
        </w:rPr>
        <w:t xml:space="preserve">subjekt </w:t>
      </w:r>
      <w:r w:rsidRPr="00D3730B">
        <w:rPr>
          <w:kern w:val="20"/>
          <w:lang w:eastAsia="en-US"/>
        </w:rPr>
        <w:t>iz stavka 1. ovoga članka ne zadovoljava uvjete iz članka 1. stavka 4. ovih Uputa, Agencija će ga pozvati da dostavi odgovarajuće dokaze i izračun viška tržišnih prihoda prema člancima 2. i 5. ovih Uputa.</w:t>
      </w:r>
    </w:p>
    <w:p w14:paraId="147F176F" w14:textId="41B6A893" w:rsidR="00D3730B" w:rsidRPr="00D3730B" w:rsidRDefault="00D3730B" w:rsidP="00D3730B">
      <w:pPr>
        <w:numPr>
          <w:ilvl w:val="0"/>
          <w:numId w:val="15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Ako </w:t>
      </w:r>
      <w:r w:rsidR="00595D88">
        <w:rPr>
          <w:kern w:val="20"/>
          <w:lang w:eastAsia="en-US"/>
        </w:rPr>
        <w:t>subjekt</w:t>
      </w:r>
      <w:r w:rsidRPr="00D3730B">
        <w:rPr>
          <w:kern w:val="20"/>
          <w:lang w:eastAsia="en-US"/>
        </w:rPr>
        <w:t xml:space="preserve"> iz stavka 1. ovoga članka nije podnio zahtjev za ograničenje na gornju granicu koja je viša od 180 €/MWh na temelju članka 5. Zakona, gornja granica tržišnih prihoda GGTP određena je člankom 3. Zakona i iznosi 180 €/MWh.</w:t>
      </w:r>
    </w:p>
    <w:p w14:paraId="6AB2C328" w14:textId="6E2AC6A8" w:rsidR="00D3730B" w:rsidRPr="00D3730B" w:rsidRDefault="00D3730B" w:rsidP="00D3730B">
      <w:pPr>
        <w:keepNext/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4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66F5BA75" w14:textId="77777777" w:rsidR="00D3730B" w:rsidRPr="00D3730B" w:rsidRDefault="00D3730B" w:rsidP="00D3730B">
      <w:pPr>
        <w:numPr>
          <w:ilvl w:val="0"/>
          <w:numId w:val="16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Excel dokument za dostavu podataka za obračunska mjerna mjesta koja su obuhvaćena obračunom viška tržišnih prihoda, za subjekta koji ima samo obračunska mjerna mjesta u statusu proizvođača, nalazi se u prilogu 2. ovih Uputa. </w:t>
      </w:r>
    </w:p>
    <w:p w14:paraId="7BFF0E0A" w14:textId="77777777" w:rsidR="00D3730B" w:rsidRPr="00D3730B" w:rsidRDefault="00D3730B" w:rsidP="00D3730B">
      <w:pPr>
        <w:numPr>
          <w:ilvl w:val="0"/>
          <w:numId w:val="16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Excel dokument za dostavu podataka za obračunska mjerna mjesta koja su obuhvaćena obračunom viška tržišnih prihoda, za subjekta koji ima samo obračunska mjerna mjesta u statusu kupca s vlastitom proizvodnjom, nalazi se u prilogu 2. ovih Uputa.</w:t>
      </w:r>
    </w:p>
    <w:p w14:paraId="02CA9949" w14:textId="77777777" w:rsidR="00D3730B" w:rsidRPr="00D3730B" w:rsidRDefault="00D3730B" w:rsidP="00D3730B">
      <w:pPr>
        <w:numPr>
          <w:ilvl w:val="0"/>
          <w:numId w:val="16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Excel dokument za dostavu podataka za obračunska mjerna mjesta koja su obuhvaćena obračunom viška tržišnih prihoda, za subjekta koji ima obračunska mjerna mjesta i u statusu kupca s vlastitom proizvodnjom i u statusu proizvođača električne energije, nalazi se u prilogu 2. ovih Uputa.</w:t>
      </w:r>
    </w:p>
    <w:p w14:paraId="31673E8B" w14:textId="6937A23A" w:rsidR="00D3730B" w:rsidRPr="00D3730B" w:rsidRDefault="00D3730B" w:rsidP="00D3730B">
      <w:pPr>
        <w:numPr>
          <w:ilvl w:val="0"/>
          <w:numId w:val="16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U slučaju kada subjekt treba drugačiju strukturu Excel dokumenta šalje molbu za dostavom dorađenog Excel dokumenta na</w:t>
      </w:r>
      <w:r w:rsidR="001B3E4A">
        <w:rPr>
          <w:kern w:val="20"/>
          <w:lang w:eastAsia="en-US"/>
        </w:rPr>
        <w:t xml:space="preserve"> adresu elektroničke pošte</w:t>
      </w:r>
      <w:r w:rsidRPr="00D3730B">
        <w:rPr>
          <w:kern w:val="20"/>
          <w:lang w:eastAsia="en-US"/>
        </w:rPr>
        <w:t xml:space="preserve"> </w:t>
      </w:r>
      <w:hyperlink r:id="rId17" w:history="1">
        <w:r w:rsidRPr="00D3730B">
          <w:rPr>
            <w:color w:val="0000FF"/>
            <w:kern w:val="20"/>
            <w:u w:val="single"/>
            <w:lang w:eastAsia="en-US"/>
          </w:rPr>
          <w:t>uredba1854@hera.hr</w:t>
        </w:r>
      </w:hyperlink>
      <w:r w:rsidRPr="00D3730B">
        <w:rPr>
          <w:kern w:val="20"/>
          <w:lang w:eastAsia="en-US"/>
        </w:rPr>
        <w:t>.</w:t>
      </w:r>
    </w:p>
    <w:p w14:paraId="60D716BD" w14:textId="77777777" w:rsidR="00D3730B" w:rsidRPr="00D3730B" w:rsidRDefault="00D3730B" w:rsidP="00D3730B"/>
    <w:p w14:paraId="36904300" w14:textId="0123EA91" w:rsidR="00D3730B" w:rsidRPr="00D3730B" w:rsidRDefault="00D3730B" w:rsidP="00D3730B">
      <w:pPr>
        <w:spacing w:after="120"/>
        <w:jc w:val="center"/>
        <w:rPr>
          <w:i/>
          <w:iCs/>
          <w:kern w:val="20"/>
        </w:rPr>
      </w:pPr>
      <w:r w:rsidRPr="00D3730B">
        <w:rPr>
          <w:i/>
          <w:iCs/>
          <w:kern w:val="20"/>
        </w:rPr>
        <w:t xml:space="preserve">Proizvođač </w:t>
      </w:r>
      <w:r w:rsidR="00BC2D3E">
        <w:rPr>
          <w:i/>
          <w:iCs/>
          <w:kern w:val="20"/>
        </w:rPr>
        <w:t xml:space="preserve">i/ili kupac s vlastitom proizvodnjom </w:t>
      </w:r>
      <w:r w:rsidRPr="00D3730B">
        <w:rPr>
          <w:i/>
          <w:iCs/>
          <w:kern w:val="20"/>
        </w:rPr>
        <w:t>koji nema sklopljen samo ugovor o otkupu</w:t>
      </w:r>
    </w:p>
    <w:p w14:paraId="576737E2" w14:textId="6B8BD669" w:rsidR="00D3730B" w:rsidRPr="00D3730B" w:rsidRDefault="00D3730B" w:rsidP="00D3730B">
      <w:pPr>
        <w:keepNext/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5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2DD7AD9F" w14:textId="3BE96185" w:rsidR="00D3730B" w:rsidRPr="00D3730B" w:rsidRDefault="00D3730B" w:rsidP="00D3730B">
      <w:pPr>
        <w:numPr>
          <w:ilvl w:val="0"/>
          <w:numId w:val="17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Proizvođač</w:t>
      </w:r>
      <w:r w:rsidR="00D17D2C">
        <w:rPr>
          <w:kern w:val="20"/>
          <w:lang w:eastAsia="en-US"/>
        </w:rPr>
        <w:t xml:space="preserve"> i/ili kupac s vlastitom proizvodnjom</w:t>
      </w:r>
      <w:r w:rsidRPr="00D3730B">
        <w:rPr>
          <w:kern w:val="20"/>
          <w:lang w:eastAsia="en-US"/>
        </w:rPr>
        <w:t xml:space="preserve"> koji nema sklopljen samo ugovor o otkupu, a obveznik je plaćanja viška tržišnih prihoda, dužan je Agenciji u elektroničkom obliku na adresu </w:t>
      </w:r>
      <w:r w:rsidRPr="00D3730B">
        <w:rPr>
          <w:kern w:val="20"/>
          <w:lang w:eastAsia="en-US"/>
        </w:rPr>
        <w:lastRenderedPageBreak/>
        <w:t xml:space="preserve">elektroničke pošte </w:t>
      </w:r>
      <w:hyperlink r:id="rId18" w:history="1">
        <w:r w:rsidRPr="00D3730B">
          <w:rPr>
            <w:color w:val="0000FF"/>
            <w:kern w:val="20"/>
            <w:u w:val="single"/>
            <w:lang w:eastAsia="en-US"/>
          </w:rPr>
          <w:t>uredba1854@hera.hr</w:t>
        </w:r>
      </w:hyperlink>
      <w:r w:rsidRPr="00D3730B">
        <w:rPr>
          <w:kern w:val="20"/>
          <w:lang w:eastAsia="en-US"/>
        </w:rPr>
        <w:t>, dostavljati dokaze na okolnosti izračuna viška tržišnih prihoda kako slijedi:</w:t>
      </w:r>
    </w:p>
    <w:p w14:paraId="462C8268" w14:textId="77777777" w:rsidR="00D3730B" w:rsidRPr="00D3730B" w:rsidRDefault="00D3730B" w:rsidP="00D3730B">
      <w:pPr>
        <w:numPr>
          <w:ilvl w:val="1"/>
          <w:numId w:val="12"/>
        </w:numPr>
        <w:spacing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račun za količinu prodane električne energije i/ili račun za količinu kupljene električne energije,</w:t>
      </w:r>
    </w:p>
    <w:p w14:paraId="34939ADC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sklopljene ugovore o kupoprodaji električne energije i ugovore o otkupu električne energije s ugovorenom isporukom koji se odnose na razdoblje od 1. prosinca 2022. do 30. lipnja 2023.,</w:t>
      </w:r>
    </w:p>
    <w:p w14:paraId="1DA8C3EA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ostvarenu prodaju i kupnju električne energije (količinu i prihod) na burzi električne energije po pojedinom satu i pojedinom vremenskom okviru trgovanja (dan unaprijed, unutar dana itd.),</w:t>
      </w:r>
    </w:p>
    <w:p w14:paraId="6E70A140" w14:textId="67000A02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ostale sklopljene ugovore (s financijskim i fizičkim transakcijama) koji se odnose na razdoblje od 1. prosinca 2022. do 30. lipnja 2023., s podacima o ostvarenoj prodaji i kupnji </w:t>
      </w:r>
      <w:r w:rsidR="000E50F0">
        <w:rPr>
          <w:kern w:val="20"/>
          <w:lang w:eastAsia="en-US"/>
        </w:rPr>
        <w:t xml:space="preserve">električne energije </w:t>
      </w:r>
      <w:r w:rsidRPr="00D3730B">
        <w:rPr>
          <w:kern w:val="20"/>
          <w:lang w:eastAsia="en-US"/>
        </w:rPr>
        <w:t>odnosno prihodima i rashodima (€), cijenama (€/MWh) s količinama (MWh) po pojedinom ugovoru i pojedinom satu,</w:t>
      </w:r>
    </w:p>
    <w:p w14:paraId="71E70BC2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ugovor o članstvu u bilančnoj grupi s transakcijama iz toga ugovora na razdoblje od 1. prosinca 2022. do 30. lipnja 2023. po pojedinom satu, odnosno mjesečne iznose ako nije primjenjiva dostava transakcija na satnoj razini,</w:t>
      </w:r>
    </w:p>
    <w:p w14:paraId="47BB06E4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izračun viška tržišnih prihoda na temelju članka 2. ovih Uputa s detaljnim obrazloženjem izračuna i/ili procjene tržišnih prihoda po ugovorima (količina energije u MWh, cijena u €/MWh, prihod u € itd.),</w:t>
      </w:r>
    </w:p>
    <w:p w14:paraId="6D042494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podatke o izvršenim uplatama s osnove viška tržišnih prihoda Fondu,</w:t>
      </w:r>
    </w:p>
    <w:p w14:paraId="52FC341B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ukupne tržišne prihode od obavljanja svih energetskih djelatnosti te ukupne tržišne prihode po pojedinoj energetskoj djelatnosti za pojedini mjesec,</w:t>
      </w:r>
    </w:p>
    <w:p w14:paraId="3067D0D8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informaciju o postojanju posrednika definiranog Uredbom Vijeća (EU) 2022/1854 od 6. listopada 2022. o hitnoj intervenciji za rješavanje pitanja visokih cijena energije, u smislu članka 3. Zakona,</w:t>
      </w:r>
    </w:p>
    <w:p w14:paraId="19C3AA90" w14:textId="77777777" w:rsidR="00D3730B" w:rsidRPr="00D3730B" w:rsidRDefault="00D3730B" w:rsidP="00D3730B">
      <w:pPr>
        <w:numPr>
          <w:ilvl w:val="1"/>
          <w:numId w:val="12"/>
        </w:numPr>
        <w:tabs>
          <w:tab w:val="left" w:pos="567"/>
        </w:tabs>
        <w:spacing w:before="120" w:after="120"/>
        <w:rPr>
          <w:kern w:val="20"/>
          <w:lang w:eastAsia="en-US"/>
        </w:rPr>
      </w:pPr>
      <w:r w:rsidRPr="00D3730B">
        <w:rPr>
          <w:kern w:val="20"/>
          <w:lang w:eastAsia="en-US"/>
        </w:rPr>
        <w:t>količinu prodane električne energije po otkupljivaču i po satu posebno za izvore iz članka 3. Zakona i posebno za ostalu proizvodnju, posebno za ugovore s otkupom i posebno za ugovore s prodajom prije isporuke.</w:t>
      </w:r>
    </w:p>
    <w:p w14:paraId="027323B8" w14:textId="1B88D5EE" w:rsidR="00D3730B" w:rsidRPr="00D3730B" w:rsidRDefault="000604AD" w:rsidP="00D3730B">
      <w:pPr>
        <w:numPr>
          <w:ilvl w:val="0"/>
          <w:numId w:val="17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>
        <w:rPr>
          <w:kern w:val="20"/>
          <w:lang w:eastAsia="en-US"/>
        </w:rPr>
        <w:t>Subjekt</w:t>
      </w:r>
      <w:r w:rsidR="00D3730B" w:rsidRPr="00D3730B">
        <w:rPr>
          <w:kern w:val="20"/>
          <w:lang w:eastAsia="en-US"/>
        </w:rPr>
        <w:t xml:space="preserve"> iz stavka 1. ovoga članka dužan je dostaviti informaciju o kontakt osobi za komunikaciju s Agencijom (ime i prezime, adresa elektroničke pošte, broj telefona).</w:t>
      </w:r>
    </w:p>
    <w:p w14:paraId="162DEF50" w14:textId="0DCE9604" w:rsidR="00D3730B" w:rsidRPr="00D3730B" w:rsidRDefault="00D3730B" w:rsidP="00D3730B">
      <w:pPr>
        <w:keepNext/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6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7B427CA5" w14:textId="05AD8442" w:rsidR="00D3730B" w:rsidRPr="00D3730B" w:rsidRDefault="005E689A" w:rsidP="00D3730B">
      <w:pPr>
        <w:numPr>
          <w:ilvl w:val="0"/>
          <w:numId w:val="18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>
        <w:rPr>
          <w:kern w:val="20"/>
          <w:lang w:eastAsia="en-US"/>
        </w:rPr>
        <w:t xml:space="preserve">Subjekt </w:t>
      </w:r>
      <w:r w:rsidR="00D3730B" w:rsidRPr="00D3730B">
        <w:rPr>
          <w:kern w:val="20"/>
          <w:lang w:eastAsia="en-US"/>
        </w:rPr>
        <w:t xml:space="preserve">iz članka </w:t>
      </w:r>
      <w:r w:rsidR="009E53D8">
        <w:rPr>
          <w:kern w:val="20"/>
          <w:lang w:eastAsia="en-US"/>
        </w:rPr>
        <w:t>5</w:t>
      </w:r>
      <w:r w:rsidR="00D3730B" w:rsidRPr="00D3730B">
        <w:rPr>
          <w:kern w:val="20"/>
          <w:lang w:eastAsia="en-US"/>
        </w:rPr>
        <w:t xml:space="preserve">. stavka 1. ovih Uputa satne podatke dostavlja u Excel dokumentu s radnim listom naziva „Satni podaci“, u formatu iz tablice 1p. </w:t>
      </w:r>
      <w:r w:rsidR="009E53D8">
        <w:rPr>
          <w:kern w:val="20"/>
          <w:lang w:eastAsia="en-US"/>
        </w:rPr>
        <w:t xml:space="preserve">iz </w:t>
      </w:r>
      <w:r w:rsidR="00D3730B" w:rsidRPr="00D3730B">
        <w:rPr>
          <w:kern w:val="20"/>
          <w:lang w:eastAsia="en-US"/>
        </w:rPr>
        <w:t>Priloga 1. ovih Uputa.</w:t>
      </w:r>
    </w:p>
    <w:p w14:paraId="40B4B9B5" w14:textId="04E18C0A" w:rsidR="00D3730B" w:rsidRPr="00D3730B" w:rsidRDefault="005E689A" w:rsidP="00D3730B">
      <w:pPr>
        <w:numPr>
          <w:ilvl w:val="0"/>
          <w:numId w:val="18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>
        <w:rPr>
          <w:kern w:val="20"/>
          <w:lang w:eastAsia="en-US"/>
        </w:rPr>
        <w:t>Subjekt</w:t>
      </w:r>
      <w:r w:rsidR="00D3730B" w:rsidRPr="00D3730B">
        <w:rPr>
          <w:kern w:val="20"/>
          <w:lang w:eastAsia="en-US"/>
        </w:rPr>
        <w:t xml:space="preserve"> iz stavka 1. ovog članka u Excel dokumentu definira stavke u stupcima tablice iz stavka 1. ovog članka, posebnim radnim listom naziva „Satni podaci definicije“ u formatu iz tablice 2p. </w:t>
      </w:r>
      <w:r w:rsidR="009E53D8">
        <w:rPr>
          <w:kern w:val="20"/>
          <w:lang w:eastAsia="en-US"/>
        </w:rPr>
        <w:t xml:space="preserve">iz </w:t>
      </w:r>
      <w:r w:rsidR="00D3730B" w:rsidRPr="00D3730B">
        <w:rPr>
          <w:kern w:val="20"/>
          <w:lang w:eastAsia="en-US"/>
        </w:rPr>
        <w:t>Priloga 1. ovih Uputa.</w:t>
      </w:r>
    </w:p>
    <w:p w14:paraId="704520A7" w14:textId="450FDCDA" w:rsidR="00D3730B" w:rsidRPr="00D3730B" w:rsidRDefault="00136D93" w:rsidP="00D3730B">
      <w:pPr>
        <w:numPr>
          <w:ilvl w:val="0"/>
          <w:numId w:val="18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>
        <w:rPr>
          <w:kern w:val="20"/>
          <w:lang w:eastAsia="en-US"/>
        </w:rPr>
        <w:t xml:space="preserve">Subjekt </w:t>
      </w:r>
      <w:r w:rsidR="00D3730B" w:rsidRPr="00D3730B">
        <w:rPr>
          <w:kern w:val="20"/>
          <w:lang w:eastAsia="en-US"/>
        </w:rPr>
        <w:t xml:space="preserve">iz stavka 1. ovog članka dostavlja mjesečne podatke iz članka 4. ovih Uputa u radnom listu naziva „Mjesečni podaci“, u formatu iz tablice 3p. </w:t>
      </w:r>
      <w:r w:rsidR="009E53D8">
        <w:rPr>
          <w:kern w:val="20"/>
          <w:lang w:eastAsia="en-US"/>
        </w:rPr>
        <w:t xml:space="preserve">iz </w:t>
      </w:r>
      <w:r w:rsidR="00D3730B" w:rsidRPr="00D3730B">
        <w:rPr>
          <w:kern w:val="20"/>
          <w:lang w:eastAsia="en-US"/>
        </w:rPr>
        <w:t>Priloga 1. ovih Uputa.</w:t>
      </w:r>
    </w:p>
    <w:p w14:paraId="2702A6F2" w14:textId="304E3340" w:rsidR="00D3730B" w:rsidRPr="00D3730B" w:rsidRDefault="00136D93" w:rsidP="00D3730B">
      <w:pPr>
        <w:numPr>
          <w:ilvl w:val="0"/>
          <w:numId w:val="18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>
        <w:rPr>
          <w:kern w:val="20"/>
          <w:lang w:eastAsia="en-US"/>
        </w:rPr>
        <w:t xml:space="preserve">Subjekt </w:t>
      </w:r>
      <w:r w:rsidR="00D3730B" w:rsidRPr="00D3730B">
        <w:rPr>
          <w:kern w:val="20"/>
          <w:lang w:eastAsia="en-US"/>
        </w:rPr>
        <w:t>iz stavka 1. ovog članka može za ispunjenje svojih obveza dostaviti i dodatne radne listove u Excel dokumentu.</w:t>
      </w:r>
    </w:p>
    <w:p w14:paraId="2BCB6A8E" w14:textId="77777777" w:rsidR="00D3730B" w:rsidRPr="00D3730B" w:rsidRDefault="00D3730B" w:rsidP="00D3730B">
      <w:pPr>
        <w:numPr>
          <w:ilvl w:val="0"/>
          <w:numId w:val="18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Za naziv Excel dokumenta u ovome članku koristi se EIC oznaka (npr. naziv Excel dokumenta za energetski subjekt koji ima EIC oznaku 31X-0147-P-001-T je 31X-0147-P-001-T.xls).</w:t>
      </w:r>
    </w:p>
    <w:p w14:paraId="35C39EDB" w14:textId="29837F50" w:rsidR="00D3730B" w:rsidRPr="00D3730B" w:rsidRDefault="00D3730B" w:rsidP="00D3730B">
      <w:pPr>
        <w:numPr>
          <w:ilvl w:val="0"/>
          <w:numId w:val="18"/>
        </w:numPr>
        <w:tabs>
          <w:tab w:val="left" w:pos="567"/>
        </w:tabs>
        <w:spacing w:before="120" w:after="120"/>
        <w:ind w:left="567" w:hanging="567"/>
        <w:rPr>
          <w:i/>
          <w:iCs/>
          <w:kern w:val="20"/>
          <w:lang w:eastAsia="en-US"/>
        </w:rPr>
      </w:pPr>
      <w:r w:rsidRPr="00D3730B">
        <w:rPr>
          <w:kern w:val="20"/>
          <w:lang w:eastAsia="en-US"/>
        </w:rPr>
        <w:lastRenderedPageBreak/>
        <w:t xml:space="preserve">Agencija može samoinicijativno, ili u slučaju prijedloga s pripadnim obrazloženjima </w:t>
      </w:r>
      <w:r w:rsidR="002F5F5D">
        <w:rPr>
          <w:kern w:val="20"/>
          <w:lang w:eastAsia="en-US"/>
        </w:rPr>
        <w:t>subjekta</w:t>
      </w:r>
      <w:r w:rsidRPr="00D3730B">
        <w:rPr>
          <w:kern w:val="20"/>
          <w:lang w:eastAsia="en-US"/>
        </w:rPr>
        <w:t xml:space="preserve"> iz stavka 1. ovoga članka, izmijeniti format i kodifikaciju podataka koji se dostavljaju prema ovom članku o čemu izvještava subjekte iz stavka 1. na dostavljene adrese elektroničke pošte navedenih subjekata.</w:t>
      </w:r>
    </w:p>
    <w:p w14:paraId="2CB20629" w14:textId="77777777" w:rsidR="00D3730B" w:rsidRPr="00D3730B" w:rsidRDefault="00D3730B" w:rsidP="00D3730B">
      <w:pPr>
        <w:keepNext/>
        <w:tabs>
          <w:tab w:val="left" w:pos="426"/>
          <w:tab w:val="left" w:pos="2450"/>
        </w:tabs>
        <w:spacing w:before="600" w:after="240"/>
        <w:jc w:val="center"/>
        <w:outlineLvl w:val="1"/>
        <w:rPr>
          <w:b/>
          <w:bCs/>
          <w:kern w:val="32"/>
        </w:rPr>
      </w:pPr>
      <w:r w:rsidRPr="00D3730B">
        <w:rPr>
          <w:b/>
          <w:bCs/>
          <w:kern w:val="32"/>
        </w:rPr>
        <w:t>PRIJELAZNE I ZAVRŠNE ODREDBE</w:t>
      </w:r>
    </w:p>
    <w:p w14:paraId="44A31B20" w14:textId="3066C54E" w:rsidR="00D3730B" w:rsidRPr="00D3730B" w:rsidRDefault="00D3730B" w:rsidP="00D3730B">
      <w:pPr>
        <w:tabs>
          <w:tab w:val="left" w:pos="567"/>
        </w:tabs>
        <w:spacing w:before="120" w:after="12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7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4054785C" w14:textId="2AD9C5AD" w:rsidR="00D3730B" w:rsidRPr="00D3730B" w:rsidRDefault="00D3730B" w:rsidP="00D3730B">
      <w:pPr>
        <w:numPr>
          <w:ilvl w:val="0"/>
          <w:numId w:val="19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Subjekti koji su prethodno na temelju Uredbe o Zakonu o hitnoj intervenciji za rješavanje pitanja visokih cijena električne energije („Narodne novine“, broj 156/22.) dostavili dokumente, podatke i/ili obračun viška tržišnih prihoda dovoljne za provedbu Zakona, informaciju o tome dostavljaju Agenciji na </w:t>
      </w:r>
      <w:r w:rsidR="001B3E4A">
        <w:rPr>
          <w:kern w:val="20"/>
          <w:lang w:eastAsia="en-US"/>
        </w:rPr>
        <w:t xml:space="preserve">adresu elektroničke pošte </w:t>
      </w:r>
      <w:hyperlink r:id="rId19" w:history="1">
        <w:r w:rsidR="001B3E4A" w:rsidRPr="00F318A3">
          <w:rPr>
            <w:rStyle w:val="Hyperlink"/>
            <w:kern w:val="20"/>
            <w:lang w:eastAsia="en-US"/>
          </w:rPr>
          <w:t>uredba1854@hera.hr</w:t>
        </w:r>
      </w:hyperlink>
      <w:r w:rsidRPr="00D3730B">
        <w:rPr>
          <w:kern w:val="20"/>
          <w:lang w:eastAsia="en-US"/>
        </w:rPr>
        <w:t>.</w:t>
      </w:r>
    </w:p>
    <w:p w14:paraId="039A442E" w14:textId="77777777" w:rsidR="00D3730B" w:rsidRPr="00D3730B" w:rsidRDefault="00D3730B" w:rsidP="00D3730B">
      <w:pPr>
        <w:numPr>
          <w:ilvl w:val="0"/>
          <w:numId w:val="19"/>
        </w:numPr>
        <w:tabs>
          <w:tab w:val="left" w:pos="567"/>
        </w:tabs>
        <w:spacing w:before="120" w:after="120"/>
        <w:ind w:left="567" w:hanging="567"/>
        <w:rPr>
          <w:kern w:val="20"/>
          <w:lang w:eastAsia="en-US"/>
        </w:rPr>
      </w:pPr>
      <w:r w:rsidRPr="00D3730B">
        <w:rPr>
          <w:kern w:val="20"/>
          <w:lang w:eastAsia="en-US"/>
        </w:rPr>
        <w:t>Ako Agencija utvrdi da subjekt iz stavka 1. ovoga članka treba dostaviti dodatne dokumente, podatke i/ili korekciju izračuna viška tržišnih prihoda o istom će obavijestiti navedenog subjekta.</w:t>
      </w:r>
    </w:p>
    <w:p w14:paraId="50365B9F" w14:textId="6EF2492D" w:rsidR="00D3730B" w:rsidRPr="00D3730B" w:rsidRDefault="00D3730B" w:rsidP="00D3730B">
      <w:pPr>
        <w:tabs>
          <w:tab w:val="left" w:pos="567"/>
        </w:tabs>
        <w:spacing w:before="240" w:after="240"/>
        <w:jc w:val="center"/>
        <w:rPr>
          <w:kern w:val="20"/>
          <w:lang w:eastAsia="en-US"/>
        </w:rPr>
      </w:pPr>
      <w:r w:rsidRPr="00D3730B">
        <w:rPr>
          <w:kern w:val="20"/>
          <w:lang w:eastAsia="en-US"/>
        </w:rPr>
        <w:t xml:space="preserve">Članak </w:t>
      </w:r>
      <w:r w:rsidRPr="00D3730B">
        <w:rPr>
          <w:kern w:val="20"/>
          <w:lang w:eastAsia="en-US"/>
        </w:rPr>
        <w:fldChar w:fldCharType="begin"/>
      </w:r>
      <w:r w:rsidRPr="00D3730B">
        <w:rPr>
          <w:kern w:val="20"/>
          <w:lang w:eastAsia="en-US"/>
        </w:rPr>
        <w:instrText xml:space="preserve"> seq clanak </w:instrText>
      </w:r>
      <w:r w:rsidRPr="00D3730B">
        <w:rPr>
          <w:kern w:val="20"/>
          <w:lang w:eastAsia="en-US"/>
        </w:rPr>
        <w:fldChar w:fldCharType="separate"/>
      </w:r>
      <w:r w:rsidR="00BA4ED9">
        <w:rPr>
          <w:noProof/>
          <w:kern w:val="20"/>
          <w:lang w:eastAsia="en-US"/>
        </w:rPr>
        <w:t>8</w:t>
      </w:r>
      <w:r w:rsidRPr="00D3730B">
        <w:rPr>
          <w:noProof/>
          <w:kern w:val="20"/>
          <w:lang w:eastAsia="en-US"/>
        </w:rPr>
        <w:fldChar w:fldCharType="end"/>
      </w:r>
      <w:r w:rsidRPr="00D3730B">
        <w:rPr>
          <w:kern w:val="20"/>
          <w:lang w:eastAsia="en-US"/>
        </w:rPr>
        <w:t>.</w:t>
      </w:r>
    </w:p>
    <w:p w14:paraId="5065C478" w14:textId="77919A53" w:rsidR="00D3730B" w:rsidRPr="00D3730B" w:rsidRDefault="00D3730B" w:rsidP="00D723B8">
      <w:pPr>
        <w:shd w:val="clear" w:color="auto" w:fill="FFFFFF"/>
        <w:spacing w:after="48"/>
        <w:textAlignment w:val="baseline"/>
        <w:rPr>
          <w:color w:val="231F20"/>
        </w:rPr>
      </w:pPr>
      <w:r w:rsidRPr="00D3730B">
        <w:rPr>
          <w:color w:val="231F20"/>
        </w:rPr>
        <w:t>Ove Upute objavit će se na mrežnim stranicama Agencije, a stupaju na snagu petog dana od dana</w:t>
      </w:r>
      <w:r w:rsidR="00ED2BB5">
        <w:rPr>
          <w:color w:val="231F20"/>
        </w:rPr>
        <w:t xml:space="preserve"> </w:t>
      </w:r>
      <w:r w:rsidRPr="00D3730B">
        <w:rPr>
          <w:color w:val="231F20"/>
        </w:rPr>
        <w:t>objave.</w:t>
      </w:r>
    </w:p>
    <w:p w14:paraId="6B2F0409" w14:textId="77777777" w:rsidR="00D3730B" w:rsidRPr="00D3730B" w:rsidRDefault="00D3730B" w:rsidP="00D3730B">
      <w:pPr>
        <w:shd w:val="clear" w:color="auto" w:fill="FFFFFF"/>
        <w:ind w:left="408"/>
        <w:jc w:val="left"/>
        <w:textAlignment w:val="baseline"/>
        <w:rPr>
          <w:color w:val="231F20"/>
        </w:rPr>
      </w:pPr>
    </w:p>
    <w:p w14:paraId="05BAC250" w14:textId="02886F1B" w:rsidR="00D3730B" w:rsidRPr="00D3730B" w:rsidRDefault="00D3730B" w:rsidP="00D3730B">
      <w:pPr>
        <w:shd w:val="clear" w:color="auto" w:fill="FFFFFF"/>
        <w:ind w:left="408"/>
        <w:jc w:val="left"/>
        <w:textAlignment w:val="baseline"/>
        <w:rPr>
          <w:color w:val="231F20"/>
        </w:rPr>
      </w:pPr>
      <w:r w:rsidRPr="00D3730B">
        <w:rPr>
          <w:color w:val="231F20"/>
        </w:rPr>
        <w:t>Klasa:</w:t>
      </w:r>
      <w:r w:rsidR="00EC41BA" w:rsidRPr="00EC41BA">
        <w:t xml:space="preserve"> </w:t>
      </w:r>
      <w:r w:rsidR="00EC41BA" w:rsidRPr="00EC41BA">
        <w:rPr>
          <w:color w:val="231F20"/>
        </w:rPr>
        <w:t>391-49/23-01/257</w:t>
      </w:r>
    </w:p>
    <w:p w14:paraId="68BD200C" w14:textId="6699D6FD" w:rsidR="00D3730B" w:rsidRPr="00D3730B" w:rsidRDefault="00D3730B" w:rsidP="00D3730B">
      <w:pPr>
        <w:shd w:val="clear" w:color="auto" w:fill="FFFFFF"/>
        <w:ind w:left="408"/>
        <w:jc w:val="left"/>
        <w:textAlignment w:val="baseline"/>
        <w:rPr>
          <w:color w:val="231F20"/>
        </w:rPr>
      </w:pPr>
      <w:r w:rsidRPr="00D3730B">
        <w:rPr>
          <w:color w:val="231F20"/>
        </w:rPr>
        <w:t>Urbroj:</w:t>
      </w:r>
      <w:r w:rsidR="00EC41BA">
        <w:rPr>
          <w:color w:val="231F20"/>
        </w:rPr>
        <w:t xml:space="preserve"> </w:t>
      </w:r>
      <w:r w:rsidR="00EC41BA" w:rsidRPr="00EC41BA">
        <w:rPr>
          <w:color w:val="231F20"/>
        </w:rPr>
        <w:t>371-03-23-4</w:t>
      </w:r>
    </w:p>
    <w:p w14:paraId="3A8353E9" w14:textId="466C7F34" w:rsidR="00D3730B" w:rsidRPr="00D3730B" w:rsidRDefault="00D3730B" w:rsidP="00D3730B">
      <w:pPr>
        <w:shd w:val="clear" w:color="auto" w:fill="FFFFFF"/>
        <w:ind w:left="408"/>
        <w:jc w:val="left"/>
        <w:textAlignment w:val="baseline"/>
        <w:rPr>
          <w:color w:val="231F20"/>
        </w:rPr>
      </w:pPr>
      <w:r w:rsidRPr="00D3730B">
        <w:rPr>
          <w:color w:val="231F20"/>
        </w:rPr>
        <w:t xml:space="preserve">Zagreb, </w:t>
      </w:r>
      <w:r w:rsidR="00EC41BA" w:rsidRPr="00EC41BA">
        <w:rPr>
          <w:color w:val="231F20"/>
        </w:rPr>
        <w:t>12</w:t>
      </w:r>
      <w:r w:rsidR="002053B3" w:rsidRPr="00EC41BA">
        <w:rPr>
          <w:color w:val="231F20"/>
        </w:rPr>
        <w:t>. listopada</w:t>
      </w:r>
      <w:r w:rsidRPr="00EC41BA">
        <w:rPr>
          <w:color w:val="231F20"/>
        </w:rPr>
        <w:t xml:space="preserve"> 2023.</w:t>
      </w:r>
    </w:p>
    <w:p w14:paraId="4C6FB0B1" w14:textId="77777777" w:rsidR="00E03FCD" w:rsidRPr="009069CD" w:rsidRDefault="00E03FCD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1AE4F3DF" w14:textId="77777777" w:rsidR="00E03FCD" w:rsidRPr="009069CD" w:rsidRDefault="00E03FCD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18429B87" w14:textId="73DA5B14" w:rsidR="00E03FCD" w:rsidRPr="009069CD" w:rsidRDefault="00D3730B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  <w:r w:rsidRPr="009069CD">
        <w:rPr>
          <w:color w:val="231F20"/>
        </w:rPr>
        <w:t>Zamjenik</w:t>
      </w:r>
      <w:r w:rsidR="00E03FCD" w:rsidRPr="009069CD">
        <w:rPr>
          <w:color w:val="231F20"/>
        </w:rPr>
        <w:t xml:space="preserve"> </w:t>
      </w:r>
      <w:r w:rsidRPr="009069CD">
        <w:rPr>
          <w:color w:val="231F20"/>
        </w:rPr>
        <w:t>predsjednika Upravnog vijeća</w:t>
      </w:r>
    </w:p>
    <w:p w14:paraId="3AEBBD89" w14:textId="77777777" w:rsidR="00E03FCD" w:rsidRPr="009069CD" w:rsidRDefault="00E03FCD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519D5C06" w14:textId="77777777" w:rsidR="00E03FCD" w:rsidRPr="009069CD" w:rsidRDefault="00E03FCD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2D0CA937" w14:textId="77777777" w:rsidR="009069CD" w:rsidRPr="009069CD" w:rsidRDefault="009069CD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</w:p>
    <w:p w14:paraId="5B36EC88" w14:textId="0E0B5396" w:rsidR="00D3730B" w:rsidRPr="009069CD" w:rsidRDefault="00D3730B" w:rsidP="00D3730B">
      <w:pPr>
        <w:shd w:val="clear" w:color="auto" w:fill="FFFFFF"/>
        <w:ind w:left="2712"/>
        <w:jc w:val="center"/>
        <w:textAlignment w:val="baseline"/>
        <w:rPr>
          <w:color w:val="231F20"/>
        </w:rPr>
      </w:pPr>
      <w:r w:rsidRPr="009069CD">
        <w:rPr>
          <w:color w:val="231F20"/>
          <w:bdr w:val="none" w:sz="0" w:space="0" w:color="auto" w:frame="1"/>
        </w:rPr>
        <w:t>mr. sc. Željko Vrban</w:t>
      </w:r>
    </w:p>
    <w:p w14:paraId="651D03E8" w14:textId="77777777" w:rsidR="00D3730B" w:rsidRPr="00D3730B" w:rsidRDefault="00D3730B" w:rsidP="00D3730B">
      <w:pPr>
        <w:rPr>
          <w:shd w:val="clear" w:color="auto" w:fill="FFFFFF"/>
          <w:lang w:eastAsia="en-US"/>
        </w:rPr>
      </w:pPr>
    </w:p>
    <w:p w14:paraId="252BC7B4" w14:textId="77777777" w:rsidR="00D3730B" w:rsidRPr="00D3730B" w:rsidRDefault="00D3730B" w:rsidP="00D3730B">
      <w:pPr>
        <w:jc w:val="left"/>
        <w:rPr>
          <w:color w:val="231F20"/>
          <w:kern w:val="20"/>
          <w:shd w:val="clear" w:color="auto" w:fill="FFFFFF"/>
          <w:lang w:eastAsia="en-US"/>
        </w:rPr>
      </w:pPr>
      <w:r w:rsidRPr="00D3730B">
        <w:rPr>
          <w:color w:val="231F20"/>
          <w:kern w:val="20"/>
          <w:shd w:val="clear" w:color="auto" w:fill="FFFFFF"/>
          <w:lang w:eastAsia="en-US"/>
        </w:rPr>
        <w:br w:type="page"/>
      </w:r>
    </w:p>
    <w:p w14:paraId="1B9917DD" w14:textId="77777777" w:rsidR="00D3730B" w:rsidRPr="00D3730B" w:rsidRDefault="00D3730B" w:rsidP="00D3730B">
      <w:pPr>
        <w:spacing w:before="120" w:after="120"/>
        <w:ind w:left="142"/>
        <w:jc w:val="center"/>
        <w:rPr>
          <w:b/>
          <w:bCs/>
          <w:color w:val="231F20"/>
          <w:kern w:val="20"/>
          <w:shd w:val="clear" w:color="auto" w:fill="FFFFFF"/>
          <w:lang w:eastAsia="en-US"/>
        </w:rPr>
      </w:pPr>
      <w:r w:rsidRPr="00D3730B">
        <w:rPr>
          <w:b/>
          <w:bCs/>
          <w:color w:val="231F20"/>
          <w:kern w:val="20"/>
          <w:shd w:val="clear" w:color="auto" w:fill="FFFFFF"/>
          <w:lang w:eastAsia="en-US"/>
        </w:rPr>
        <w:lastRenderedPageBreak/>
        <w:t>PRILOG 1.</w:t>
      </w:r>
    </w:p>
    <w:p w14:paraId="5B353A19" w14:textId="30675D55" w:rsidR="00D3730B" w:rsidRPr="00D3730B" w:rsidRDefault="00D3730B" w:rsidP="00D3730B">
      <w:pPr>
        <w:tabs>
          <w:tab w:val="left" w:pos="142"/>
        </w:tabs>
        <w:spacing w:before="120" w:after="120"/>
        <w:ind w:left="142"/>
        <w:jc w:val="center"/>
        <w:rPr>
          <w:color w:val="231F20"/>
          <w:kern w:val="20"/>
          <w:shd w:val="clear" w:color="auto" w:fill="FFFFFF"/>
          <w:lang w:eastAsia="en-US"/>
        </w:rPr>
      </w:pPr>
      <w:r w:rsidRPr="00D3730B">
        <w:rPr>
          <w:color w:val="231F20"/>
          <w:kern w:val="20"/>
          <w:shd w:val="clear" w:color="auto" w:fill="FFFFFF"/>
          <w:lang w:eastAsia="en-US"/>
        </w:rPr>
        <w:t>FORMAT ZA DOSTAVU PODATAKA KOJE DOSTAVLJAJU PROIZVOĐAČI</w:t>
      </w:r>
      <w:r w:rsidR="000E50F0">
        <w:rPr>
          <w:color w:val="231F20"/>
          <w:kern w:val="20"/>
          <w:shd w:val="clear" w:color="auto" w:fill="FFFFFF"/>
          <w:lang w:eastAsia="en-US"/>
        </w:rPr>
        <w:t xml:space="preserve"> I/ILI KUPCI S VLASTITOM PROIZVODNJOM</w:t>
      </w:r>
      <w:r w:rsidRPr="00D3730B">
        <w:rPr>
          <w:color w:val="231F20"/>
          <w:kern w:val="20"/>
          <w:shd w:val="clear" w:color="auto" w:fill="FFFFFF"/>
          <w:lang w:eastAsia="en-US"/>
        </w:rPr>
        <w:t xml:space="preserve"> KOJI NISU</w:t>
      </w:r>
      <w:r w:rsidR="000E50F0">
        <w:rPr>
          <w:color w:val="231F20"/>
          <w:kern w:val="20"/>
          <w:shd w:val="clear" w:color="auto" w:fill="FFFFFF"/>
          <w:lang w:eastAsia="en-US"/>
        </w:rPr>
        <w:t xml:space="preserve"> SUBJEKTI</w:t>
      </w:r>
      <w:r w:rsidRPr="00D3730B">
        <w:rPr>
          <w:color w:val="231F20"/>
          <w:kern w:val="20"/>
          <w:shd w:val="clear" w:color="auto" w:fill="FFFFFF"/>
          <w:lang w:eastAsia="en-US"/>
        </w:rPr>
        <w:t xml:space="preserve"> SAMO S UGOVOROM O OTKUPU</w:t>
      </w:r>
    </w:p>
    <w:p w14:paraId="2402AF7E" w14:textId="77777777" w:rsidR="00D3730B" w:rsidRPr="00D3730B" w:rsidRDefault="00D3730B" w:rsidP="00D3730B">
      <w:pPr>
        <w:tabs>
          <w:tab w:val="left" w:pos="567"/>
        </w:tabs>
        <w:spacing w:before="120" w:after="120"/>
        <w:ind w:left="360" w:hanging="360"/>
        <w:jc w:val="center"/>
        <w:rPr>
          <w:color w:val="231F20"/>
          <w:kern w:val="20"/>
          <w:shd w:val="clear" w:color="auto" w:fill="FFFFFF"/>
          <w:lang w:eastAsia="en-US"/>
        </w:rPr>
      </w:pPr>
      <w:r w:rsidRPr="00D3730B">
        <w:rPr>
          <w:color w:val="231F20"/>
          <w:kern w:val="20"/>
          <w:shd w:val="clear" w:color="auto" w:fill="FFFFFF"/>
          <w:lang w:eastAsia="en-US"/>
        </w:rPr>
        <w:t>Tablica 1p. Format u radnom listu „Satni podaci“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135"/>
        <w:gridCol w:w="1135"/>
        <w:gridCol w:w="1135"/>
        <w:gridCol w:w="1135"/>
        <w:gridCol w:w="1135"/>
        <w:gridCol w:w="1135"/>
      </w:tblGrid>
      <w:tr w:rsidR="00D3730B" w:rsidRPr="00D3730B" w14:paraId="45473DFC" w14:textId="77777777" w:rsidTr="00D3730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98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Dan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377F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Sat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0E94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stavka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EF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stavka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52A8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AC9A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 xml:space="preserve">stavka </w:t>
            </w:r>
            <w:r w:rsidRPr="00D3730B">
              <w:rPr>
                <w:b/>
                <w:bCs/>
                <w:i/>
                <w:iCs/>
                <w:kern w:val="20"/>
                <w:lang w:eastAsia="en-US"/>
              </w:rPr>
              <w:t>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8B48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12F6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stavka N</w:t>
            </w:r>
          </w:p>
        </w:tc>
      </w:tr>
      <w:tr w:rsidR="00D3730B" w:rsidRPr="00D3730B" w14:paraId="0368F7EA" w14:textId="77777777" w:rsidTr="00D3730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57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72F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0E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12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1F6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9A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657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9CB1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056DBA0D" w14:textId="77777777" w:rsidTr="00D3730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5AA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AAA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1A2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E5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B7D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1E44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E7E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C8E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06870882" w14:textId="77777777" w:rsidTr="00D3730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EDE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A2B1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42F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EA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52E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2E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2F9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A4C0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</w:tbl>
    <w:p w14:paraId="055E23E5" w14:textId="77777777" w:rsidR="00D3730B" w:rsidRPr="00D3730B" w:rsidRDefault="00D3730B" w:rsidP="00D3730B">
      <w:pPr>
        <w:rPr>
          <w:shd w:val="clear" w:color="auto" w:fill="FFFFFF"/>
          <w:lang w:eastAsia="en-US"/>
        </w:rPr>
      </w:pPr>
    </w:p>
    <w:p w14:paraId="0793B24E" w14:textId="77777777" w:rsidR="00D3730B" w:rsidRPr="00D3730B" w:rsidRDefault="00D3730B" w:rsidP="00D3730B">
      <w:pPr>
        <w:tabs>
          <w:tab w:val="left" w:pos="567"/>
        </w:tabs>
        <w:spacing w:before="120" w:after="120"/>
        <w:ind w:left="360" w:hanging="360"/>
        <w:jc w:val="center"/>
        <w:rPr>
          <w:color w:val="231F20"/>
          <w:kern w:val="20"/>
          <w:shd w:val="clear" w:color="auto" w:fill="FFFFFF"/>
          <w:lang w:eastAsia="en-US"/>
        </w:rPr>
      </w:pPr>
      <w:r w:rsidRPr="00D3730B">
        <w:rPr>
          <w:color w:val="231F20"/>
          <w:kern w:val="20"/>
          <w:shd w:val="clear" w:color="auto" w:fill="FFFFFF"/>
          <w:lang w:eastAsia="en-US"/>
        </w:rPr>
        <w:t>Tablica 2p. Definicije stavki iz tablice 1p. ovog priloga u radnom listu „Satni podaci definicije“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5245"/>
      </w:tblGrid>
      <w:tr w:rsidR="00D3730B" w:rsidRPr="00D3730B" w14:paraId="7C5B5497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10F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Naziv stavke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70CD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Definicija stavke</w:t>
            </w:r>
          </w:p>
        </w:tc>
      </w:tr>
      <w:tr w:rsidR="00D3730B" w:rsidRPr="00D3730B" w14:paraId="1C763862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92E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stavka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9B28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63C32A6A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BBF9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stavka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E62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44C703B2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053D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E21A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43FB3EAF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E12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 xml:space="preserve">stavka </w:t>
            </w:r>
            <w:r w:rsidRPr="00D3730B">
              <w:rPr>
                <w:i/>
                <w:iCs/>
                <w:kern w:val="20"/>
                <w:lang w:eastAsia="en-US"/>
              </w:rPr>
              <w:t>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A2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59441498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D6D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…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DDF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0AD6031C" w14:textId="77777777" w:rsidTr="00D373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EA3B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stavka 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934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</w:tbl>
    <w:p w14:paraId="4F420AE2" w14:textId="77777777" w:rsidR="00D3730B" w:rsidRPr="00D3730B" w:rsidRDefault="00D3730B" w:rsidP="00D3730B">
      <w:pPr>
        <w:rPr>
          <w:shd w:val="clear" w:color="auto" w:fill="FFFFFF"/>
          <w:lang w:eastAsia="en-US"/>
        </w:rPr>
      </w:pPr>
    </w:p>
    <w:p w14:paraId="33A86568" w14:textId="77777777" w:rsidR="00D3730B" w:rsidRPr="00D3730B" w:rsidRDefault="00D3730B" w:rsidP="00D3730B">
      <w:pPr>
        <w:tabs>
          <w:tab w:val="left" w:pos="567"/>
        </w:tabs>
        <w:spacing w:before="120" w:after="120"/>
        <w:jc w:val="center"/>
        <w:rPr>
          <w:color w:val="231F20"/>
          <w:kern w:val="20"/>
          <w:shd w:val="clear" w:color="auto" w:fill="FFFFFF"/>
          <w:lang w:eastAsia="en-US"/>
        </w:rPr>
      </w:pPr>
      <w:r w:rsidRPr="00D3730B">
        <w:rPr>
          <w:color w:val="231F20"/>
          <w:kern w:val="20"/>
          <w:shd w:val="clear" w:color="auto" w:fill="FFFFFF"/>
          <w:lang w:eastAsia="en-US"/>
        </w:rPr>
        <w:t>Tablica 3p. Format za mjesečne podatke u radnom listu „Mjesečni podaci“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1984"/>
      </w:tblGrid>
      <w:tr w:rsidR="00D3730B" w:rsidRPr="00D3730B" w14:paraId="4DB66AE8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106F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Naziv elementa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615E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Definicija elementa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345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  <w:kern w:val="20"/>
                <w:lang w:eastAsia="en-US"/>
              </w:rPr>
            </w:pPr>
            <w:r w:rsidRPr="00D3730B">
              <w:rPr>
                <w:b/>
                <w:bCs/>
                <w:kern w:val="20"/>
                <w:lang w:eastAsia="en-US"/>
              </w:rPr>
              <w:t>Iznos elementa</w:t>
            </w:r>
          </w:p>
        </w:tc>
      </w:tr>
      <w:tr w:rsidR="00D3730B" w:rsidRPr="00D3730B" w14:paraId="7A1D040E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31CD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element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869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668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110634D8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8C17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element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3B2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5F98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40428AE0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83A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707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F34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4E84B103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9D2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 xml:space="preserve">element </w:t>
            </w:r>
            <w:r w:rsidRPr="00D3730B">
              <w:rPr>
                <w:i/>
                <w:iCs/>
                <w:kern w:val="20"/>
                <w:lang w:eastAsia="en-US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8D1B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2C5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5BEA4B46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AAF0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93C7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3EC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  <w:tr w:rsidR="00D3730B" w:rsidRPr="00D3730B" w14:paraId="3076957A" w14:textId="77777777" w:rsidTr="00D3730B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B4C4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  <w:r w:rsidRPr="00D3730B">
              <w:rPr>
                <w:kern w:val="20"/>
                <w:lang w:eastAsia="en-US"/>
              </w:rPr>
              <w:t>element 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21B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38D" w14:textId="77777777" w:rsidR="00D3730B" w:rsidRPr="00D3730B" w:rsidRDefault="00D3730B" w:rsidP="00D3730B">
            <w:pPr>
              <w:tabs>
                <w:tab w:val="left" w:pos="567"/>
              </w:tabs>
              <w:spacing w:before="120" w:after="120"/>
              <w:jc w:val="center"/>
              <w:rPr>
                <w:kern w:val="20"/>
                <w:lang w:eastAsia="en-US"/>
              </w:rPr>
            </w:pPr>
          </w:p>
        </w:tc>
      </w:tr>
    </w:tbl>
    <w:p w14:paraId="50512736" w14:textId="77777777" w:rsidR="00D3730B" w:rsidRPr="00D3730B" w:rsidRDefault="00D3730B" w:rsidP="00D3730B"/>
    <w:p w14:paraId="545A1DCE" w14:textId="77777777" w:rsidR="00D3730B" w:rsidRPr="00D3730B" w:rsidRDefault="00D3730B" w:rsidP="00D3730B">
      <w:pPr>
        <w:jc w:val="left"/>
        <w:rPr>
          <w:b/>
          <w:bCs/>
          <w:color w:val="231F20"/>
          <w:kern w:val="20"/>
          <w:shd w:val="clear" w:color="auto" w:fill="FFFFFF"/>
          <w:lang w:eastAsia="en-US"/>
        </w:rPr>
      </w:pPr>
      <w:r w:rsidRPr="00D3730B">
        <w:rPr>
          <w:b/>
          <w:bCs/>
          <w:color w:val="231F20"/>
          <w:kern w:val="20"/>
          <w:shd w:val="clear" w:color="auto" w:fill="FFFFFF"/>
          <w:lang w:eastAsia="en-US"/>
        </w:rPr>
        <w:br w:type="page"/>
      </w:r>
    </w:p>
    <w:p w14:paraId="203643DA" w14:textId="77777777" w:rsidR="00D3730B" w:rsidRPr="00D3730B" w:rsidRDefault="00D3730B" w:rsidP="00D3730B">
      <w:pPr>
        <w:spacing w:before="120" w:after="120"/>
        <w:ind w:left="142"/>
        <w:jc w:val="center"/>
        <w:rPr>
          <w:b/>
          <w:bCs/>
          <w:color w:val="231F20"/>
          <w:kern w:val="20"/>
          <w:shd w:val="clear" w:color="auto" w:fill="FFFFFF"/>
          <w:lang w:eastAsia="en-US"/>
        </w:rPr>
      </w:pPr>
      <w:r w:rsidRPr="00D3730B">
        <w:rPr>
          <w:b/>
          <w:bCs/>
          <w:color w:val="231F20"/>
          <w:kern w:val="20"/>
          <w:shd w:val="clear" w:color="auto" w:fill="FFFFFF"/>
          <w:lang w:eastAsia="en-US"/>
        </w:rPr>
        <w:lastRenderedPageBreak/>
        <w:t>PRILOG 2.</w:t>
      </w:r>
    </w:p>
    <w:p w14:paraId="5CD5B7C5" w14:textId="77777777" w:rsidR="00D3730B" w:rsidRPr="00D3730B" w:rsidRDefault="00D3730B" w:rsidP="00D3730B">
      <w:pPr>
        <w:tabs>
          <w:tab w:val="left" w:pos="142"/>
        </w:tabs>
        <w:spacing w:before="120" w:after="120"/>
        <w:ind w:left="142"/>
        <w:jc w:val="center"/>
        <w:rPr>
          <w:color w:val="231F20"/>
          <w:kern w:val="20"/>
          <w:shd w:val="clear" w:color="auto" w:fill="FFFFFF"/>
          <w:lang w:eastAsia="en-US"/>
        </w:rPr>
      </w:pPr>
      <w:r w:rsidRPr="00D3730B">
        <w:rPr>
          <w:color w:val="231F20"/>
          <w:kern w:val="20"/>
          <w:shd w:val="clear" w:color="auto" w:fill="FFFFFF"/>
          <w:lang w:eastAsia="en-US"/>
        </w:rPr>
        <w:t>EXCEL DOKUMENTI ZA DOSTAVU PODATAKA</w:t>
      </w:r>
    </w:p>
    <w:p w14:paraId="0DF7D58A" w14:textId="77777777" w:rsidR="00D3730B" w:rsidRPr="00D3730B" w:rsidRDefault="00D3730B" w:rsidP="00D3730B"/>
    <w:p w14:paraId="77C7C1DB" w14:textId="77777777" w:rsidR="00D3730B" w:rsidRPr="00D3730B" w:rsidRDefault="00D3730B" w:rsidP="00D3730B"/>
    <w:p w14:paraId="4564EDA3" w14:textId="77777777" w:rsidR="00D3730B" w:rsidRPr="00D3730B" w:rsidRDefault="00D3730B" w:rsidP="00D3730B">
      <w:r w:rsidRPr="00D3730B">
        <w:t>Excel dokument za subjekta koji ima samo obračunska mjerna mjesta u statusu proizvođača:</w:t>
      </w:r>
    </w:p>
    <w:p w14:paraId="52B6C69E" w14:textId="3A6855F8" w:rsidR="00D3730B" w:rsidRPr="00D3730B" w:rsidRDefault="00D3730B" w:rsidP="009B10BA">
      <w:pPr>
        <w:jc w:val="left"/>
      </w:pPr>
      <w:r w:rsidRPr="00D3730B">
        <w:object w:dxaOrig="1530" w:dyaOrig="990" w14:anchorId="178C2872">
          <v:shape id="_x0000_i1028" type="#_x0000_t75" style="width:76.5pt;height:49.5pt" o:ole="">
            <v:imagedata r:id="rId20" o:title=""/>
          </v:shape>
          <o:OLEObject Type="Embed" ProgID="Excel.Sheet.12" ShapeID="_x0000_i1028" DrawAspect="Icon" ObjectID="_1758953600" r:id="rId21"/>
        </w:object>
      </w:r>
    </w:p>
    <w:p w14:paraId="3CD9678F" w14:textId="77777777" w:rsidR="008C2D0E" w:rsidRDefault="008C2D0E" w:rsidP="00D3730B"/>
    <w:p w14:paraId="48EE8A5E" w14:textId="4CF70DCE" w:rsidR="00D3730B" w:rsidRPr="00D3730B" w:rsidRDefault="00D3730B" w:rsidP="00D3730B">
      <w:r w:rsidRPr="00D3730B">
        <w:t>Excel dokument za subjekta koji ima samo obračunska mjerna mjesta u statusu kupca s vlastitom proizvodnjom:</w:t>
      </w:r>
    </w:p>
    <w:p w14:paraId="023F125E" w14:textId="77777777" w:rsidR="00D3730B" w:rsidRPr="00D3730B" w:rsidRDefault="00D3730B" w:rsidP="00D3730B">
      <w:r w:rsidRPr="00D3730B">
        <w:object w:dxaOrig="1530" w:dyaOrig="990" w14:anchorId="76F86052">
          <v:shape id="_x0000_i1029" type="#_x0000_t75" style="width:76.5pt;height:49.5pt" o:ole="">
            <v:imagedata r:id="rId22" o:title=""/>
          </v:shape>
          <o:OLEObject Type="Embed" ProgID="Excel.Sheet.12" ShapeID="_x0000_i1029" DrawAspect="Icon" ObjectID="_1758953601" r:id="rId23"/>
        </w:object>
      </w:r>
    </w:p>
    <w:p w14:paraId="2F6CAF78" w14:textId="77777777" w:rsidR="008C2D0E" w:rsidRDefault="008C2D0E" w:rsidP="00D3730B"/>
    <w:p w14:paraId="677AE58E" w14:textId="7B66BCFA" w:rsidR="00D3730B" w:rsidRPr="00D3730B" w:rsidRDefault="00D3730B" w:rsidP="00D3730B">
      <w:r w:rsidRPr="00D3730B">
        <w:t>Excel dokument za subjekta koji ima obračunska mjerna mjesta i u statusu kupca s vlastitom proizvodnjom i u statusu proizvođača električne energije:</w:t>
      </w:r>
    </w:p>
    <w:p w14:paraId="625BB331" w14:textId="59417DEF" w:rsidR="00D3730B" w:rsidRPr="008C2D0E" w:rsidRDefault="00585C59" w:rsidP="00D3730B">
      <w:pPr>
        <w:rPr>
          <w:bCs/>
        </w:rPr>
      </w:pPr>
      <w:r w:rsidRPr="008C2D0E">
        <w:rPr>
          <w:bCs/>
        </w:rPr>
        <w:object w:dxaOrig="1532" w:dyaOrig="991" w14:anchorId="40891430">
          <v:shape id="_x0000_i1030" type="#_x0000_t75" style="width:76.5pt;height:49.5pt" o:ole="">
            <v:imagedata r:id="rId24" o:title=""/>
          </v:shape>
          <o:OLEObject Type="Embed" ProgID="Excel.Sheet.12" ShapeID="_x0000_i1030" DrawAspect="Icon" ObjectID="_1758953602" r:id="rId25"/>
        </w:object>
      </w:r>
    </w:p>
    <w:p w14:paraId="6D6020CC" w14:textId="77777777" w:rsidR="00D3730B" w:rsidRPr="00D3730B" w:rsidRDefault="00D3730B" w:rsidP="00D3730B"/>
    <w:sectPr w:rsidR="00D3730B" w:rsidRPr="00D3730B" w:rsidSect="004E133A">
      <w:footerReference w:type="default" r:id="rId2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2847" w14:textId="77777777" w:rsidR="004C6582" w:rsidRDefault="004C6582">
      <w:r>
        <w:separator/>
      </w:r>
    </w:p>
  </w:endnote>
  <w:endnote w:type="continuationSeparator" w:id="0">
    <w:p w14:paraId="604787FC" w14:textId="77777777" w:rsidR="004C6582" w:rsidRDefault="004C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2BC6BE8" w14:textId="77777777" w:rsidR="00EF1491" w:rsidRPr="000B5F55" w:rsidRDefault="00EF1491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8B12" w14:textId="77777777" w:rsidR="004C6582" w:rsidRDefault="004C6582">
      <w:r>
        <w:separator/>
      </w:r>
    </w:p>
  </w:footnote>
  <w:footnote w:type="continuationSeparator" w:id="0">
    <w:p w14:paraId="04C92832" w14:textId="77777777" w:rsidR="004C6582" w:rsidRDefault="004C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E59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1" w15:restartNumberingAfterBreak="0">
    <w:nsid w:val="2E0076B2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2" w15:restartNumberingAfterBreak="0">
    <w:nsid w:val="34071D1F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3" w15:restartNumberingAfterBreak="0">
    <w:nsid w:val="3A840ADC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4" w15:restartNumberingAfterBreak="0">
    <w:nsid w:val="4DF97EAB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5" w15:restartNumberingAfterBreak="0">
    <w:nsid w:val="4FD27104"/>
    <w:multiLevelType w:val="hybridMultilevel"/>
    <w:tmpl w:val="E81E6D58"/>
    <w:lvl w:ilvl="0" w:tplc="4D4245E2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90F6D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7" w15:restartNumberingAfterBreak="0">
    <w:nsid w:val="6A737CD0"/>
    <w:multiLevelType w:val="hybridMultilevel"/>
    <w:tmpl w:val="9FBC64EA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start w:val="1"/>
      <w:numFmt w:val="bullet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abstractNum w:abstractNumId="8" w15:restartNumberingAfterBreak="0">
    <w:nsid w:val="7A0D26EA"/>
    <w:multiLevelType w:val="hybridMultilevel"/>
    <w:tmpl w:val="950EABF0"/>
    <w:lvl w:ilvl="0" w:tplc="D9285F5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E8ADBE2">
      <w:numFmt w:val="decimal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 w:tplc="DE8ADBE2">
      <w:numFmt w:val="decimal"/>
      <w:lvlText w:val=""/>
      <w:lvlJc w:val="left"/>
      <w:pPr>
        <w:tabs>
          <w:tab w:val="num" w:pos="1592"/>
        </w:tabs>
        <w:ind w:left="1592" w:hanging="180"/>
      </w:pPr>
      <w:rPr>
        <w:rFonts w:ascii="Symbol" w:hAnsi="Symbol" w:hint="default"/>
      </w:rPr>
    </w:lvl>
    <w:lvl w:ilvl="3" w:tplc="A0CE75CC">
      <w:numFmt w:val="bullet"/>
      <w:lvlText w:val="–"/>
      <w:lvlJc w:val="left"/>
      <w:pPr>
        <w:ind w:left="2312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cs="Times New Roman"/>
      </w:rPr>
    </w:lvl>
  </w:abstractNum>
  <w:num w:numId="1" w16cid:durableId="517550547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8830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3939705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312171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823876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801829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9847627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055350">
    <w:abstractNumId w:val="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260867">
    <w:abstractNumId w:val="7"/>
  </w:num>
  <w:num w:numId="10" w16cid:durableId="775102731">
    <w:abstractNumId w:val="5"/>
  </w:num>
  <w:num w:numId="11" w16cid:durableId="1168711779">
    <w:abstractNumId w:val="7"/>
    <w:lvlOverride w:ilvl="0">
      <w:startOverride w:val="1"/>
    </w:lvlOverride>
  </w:num>
  <w:num w:numId="12" w16cid:durableId="602079804">
    <w:abstractNumId w:val="8"/>
  </w:num>
  <w:num w:numId="13" w16cid:durableId="2016759348">
    <w:abstractNumId w:val="4"/>
  </w:num>
  <w:num w:numId="14" w16cid:durableId="236284613">
    <w:abstractNumId w:val="7"/>
  </w:num>
  <w:num w:numId="15" w16cid:durableId="1250504697">
    <w:abstractNumId w:val="0"/>
  </w:num>
  <w:num w:numId="16" w16cid:durableId="575211867">
    <w:abstractNumId w:val="3"/>
  </w:num>
  <w:num w:numId="17" w16cid:durableId="204559133">
    <w:abstractNumId w:val="1"/>
  </w:num>
  <w:num w:numId="18" w16cid:durableId="997533833">
    <w:abstractNumId w:val="6"/>
  </w:num>
  <w:num w:numId="19" w16cid:durableId="1039086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B4"/>
    <w:rsid w:val="000604AD"/>
    <w:rsid w:val="000652F0"/>
    <w:rsid w:val="0008016D"/>
    <w:rsid w:val="000A1320"/>
    <w:rsid w:val="000A568C"/>
    <w:rsid w:val="000E50F0"/>
    <w:rsid w:val="000F0345"/>
    <w:rsid w:val="000F3C4E"/>
    <w:rsid w:val="00123B65"/>
    <w:rsid w:val="00136D93"/>
    <w:rsid w:val="001406B8"/>
    <w:rsid w:val="00171056"/>
    <w:rsid w:val="001B3E4A"/>
    <w:rsid w:val="001D18BD"/>
    <w:rsid w:val="002053B3"/>
    <w:rsid w:val="002155C5"/>
    <w:rsid w:val="00276F45"/>
    <w:rsid w:val="00295A66"/>
    <w:rsid w:val="002A09A2"/>
    <w:rsid w:val="002F5F5D"/>
    <w:rsid w:val="00311D49"/>
    <w:rsid w:val="00320ED8"/>
    <w:rsid w:val="003528B6"/>
    <w:rsid w:val="00374C80"/>
    <w:rsid w:val="00384F1E"/>
    <w:rsid w:val="003C5992"/>
    <w:rsid w:val="003F455D"/>
    <w:rsid w:val="004261E3"/>
    <w:rsid w:val="004A1465"/>
    <w:rsid w:val="004B5477"/>
    <w:rsid w:val="004C6582"/>
    <w:rsid w:val="004F2DCF"/>
    <w:rsid w:val="00585C59"/>
    <w:rsid w:val="005925BC"/>
    <w:rsid w:val="00595D88"/>
    <w:rsid w:val="005C1C7D"/>
    <w:rsid w:val="005C29F3"/>
    <w:rsid w:val="005E689A"/>
    <w:rsid w:val="00600997"/>
    <w:rsid w:val="00646805"/>
    <w:rsid w:val="006C4E65"/>
    <w:rsid w:val="007103CB"/>
    <w:rsid w:val="007401A7"/>
    <w:rsid w:val="007412D5"/>
    <w:rsid w:val="00746916"/>
    <w:rsid w:val="00797C38"/>
    <w:rsid w:val="007C1AB4"/>
    <w:rsid w:val="0083035B"/>
    <w:rsid w:val="0088683A"/>
    <w:rsid w:val="008A45FD"/>
    <w:rsid w:val="008C2D0E"/>
    <w:rsid w:val="009069CD"/>
    <w:rsid w:val="00913F40"/>
    <w:rsid w:val="00927623"/>
    <w:rsid w:val="00927DDA"/>
    <w:rsid w:val="009B10BA"/>
    <w:rsid w:val="009E53D8"/>
    <w:rsid w:val="009F62D8"/>
    <w:rsid w:val="00A0514E"/>
    <w:rsid w:val="00A10505"/>
    <w:rsid w:val="00A17351"/>
    <w:rsid w:val="00A42BBB"/>
    <w:rsid w:val="00A56FB0"/>
    <w:rsid w:val="00AA56F1"/>
    <w:rsid w:val="00AE7F9B"/>
    <w:rsid w:val="00B25317"/>
    <w:rsid w:val="00B67C4F"/>
    <w:rsid w:val="00B91AB5"/>
    <w:rsid w:val="00BA4ED9"/>
    <w:rsid w:val="00BA7775"/>
    <w:rsid w:val="00BC2D3E"/>
    <w:rsid w:val="00BD16E0"/>
    <w:rsid w:val="00CC464F"/>
    <w:rsid w:val="00CF6977"/>
    <w:rsid w:val="00D12F3C"/>
    <w:rsid w:val="00D17D2C"/>
    <w:rsid w:val="00D3730B"/>
    <w:rsid w:val="00D551C3"/>
    <w:rsid w:val="00D723B8"/>
    <w:rsid w:val="00DD14AF"/>
    <w:rsid w:val="00E03FCD"/>
    <w:rsid w:val="00E61D27"/>
    <w:rsid w:val="00EC41BA"/>
    <w:rsid w:val="00ED2BB5"/>
    <w:rsid w:val="00EF1491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C6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2BBB"/>
    <w:pPr>
      <w:ind w:left="720"/>
      <w:contextualSpacing/>
    </w:pPr>
  </w:style>
  <w:style w:type="paragraph" w:customStyle="1" w:styleId="Stavak">
    <w:name w:val="Stavak"/>
    <w:basedOn w:val="Normal"/>
    <w:qFormat/>
    <w:rsid w:val="00A42BBB"/>
    <w:pPr>
      <w:tabs>
        <w:tab w:val="left" w:pos="567"/>
      </w:tabs>
      <w:spacing w:before="120" w:after="120"/>
    </w:pPr>
    <w:rPr>
      <w:kern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42BB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37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730B"/>
  </w:style>
  <w:style w:type="character" w:styleId="CommentReference">
    <w:name w:val="annotation reference"/>
    <w:basedOn w:val="DefaultParagraphFont"/>
    <w:unhideWhenUsed/>
    <w:rsid w:val="00D3730B"/>
    <w:rPr>
      <w:sz w:val="16"/>
      <w:szCs w:val="16"/>
    </w:rPr>
  </w:style>
  <w:style w:type="character" w:styleId="UnresolvedMention">
    <w:name w:val="Unresolved Mention"/>
    <w:basedOn w:val="DefaultParagraphFont"/>
    <w:rsid w:val="001B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oeu.hr/" TargetMode="External"/><Relationship Id="rId13" Type="http://schemas.openxmlformats.org/officeDocument/2006/relationships/image" Target="media/image3.wmf"/><Relationship Id="rId18" Type="http://schemas.openxmlformats.org/officeDocument/2006/relationships/hyperlink" Target="mailto:uredba1854@hera.hr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.xlsx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uredba1854@hera.hr" TargetMode="External"/><Relationship Id="rId25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6" Type="http://schemas.openxmlformats.org/officeDocument/2006/relationships/hyperlink" Target="mailto:uredba1854@hera.hr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yperlink" Target="mailto:uredba1854@hera.hr" TargetMode="External"/><Relationship Id="rId23" Type="http://schemas.openxmlformats.org/officeDocument/2006/relationships/package" Target="embeddings/Microsoft_Excel_Worksheet1.xlsx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uredba1854@her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8288-1FFB-449D-9652-6F6C9A9C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2023-10-16T07:23:00Z</dcterms:created>
  <dcterms:modified xsi:type="dcterms:W3CDTF">2023-10-16T07:26:00Z</dcterms:modified>
</cp:coreProperties>
</file>